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EAF5F3">
      <w:pPr>
        <w:spacing w:line="540" w:lineRule="exact"/>
        <w:ind w:right="-147" w:rightChars="-70"/>
        <w:jc w:val="center"/>
        <w:rPr>
          <w:rFonts w:eastAsia="方正小标宋简体"/>
          <w:b/>
          <w:bCs/>
          <w:sz w:val="44"/>
          <w:szCs w:val="44"/>
        </w:rPr>
      </w:pPr>
    </w:p>
    <w:p w14:paraId="1C5AF3D1">
      <w:pPr>
        <w:spacing w:line="560" w:lineRule="exact"/>
        <w:ind w:left="-214" w:leftChars="-102" w:right="-147" w:rightChars="-70"/>
        <w:jc w:val="center"/>
        <w:rPr>
          <w:rFonts w:eastAsia="方正小标宋简体"/>
          <w:b/>
          <w:bCs/>
          <w:sz w:val="44"/>
          <w:szCs w:val="44"/>
        </w:rPr>
      </w:pPr>
      <w:r>
        <w:rPr>
          <w:rFonts w:hint="eastAsia" w:eastAsia="方正小标宋简体"/>
          <w:b/>
          <w:bCs/>
          <w:sz w:val="44"/>
          <w:szCs w:val="44"/>
        </w:rPr>
        <w:t>乐山市市中区</w:t>
      </w:r>
      <w:r>
        <w:rPr>
          <w:rFonts w:hint="eastAsia" w:ascii="宋体" w:hAnsi="宋体" w:eastAsia="宋体" w:cs="宋体"/>
          <w:b/>
          <w:bCs/>
          <w:sz w:val="44"/>
          <w:szCs w:val="44"/>
          <w:lang w:val="en-US" w:eastAsia="zh-CN"/>
        </w:rPr>
        <w:t>[</w:t>
      </w:r>
      <w:r>
        <w:rPr>
          <w:rFonts w:hint="eastAsia" w:eastAsia="方正小标宋简体"/>
          <w:b/>
          <w:bCs/>
          <w:sz w:val="44"/>
          <w:szCs w:val="44"/>
          <w:lang w:val="en-US" w:eastAsia="zh-CN"/>
        </w:rPr>
        <w:t>乐中挂〔2024〕2</w:t>
      </w:r>
      <w:r>
        <w:rPr>
          <w:rFonts w:hint="eastAsia" w:ascii="宋体" w:hAnsi="宋体" w:eastAsia="宋体" w:cs="宋体"/>
          <w:b/>
          <w:bCs/>
          <w:sz w:val="44"/>
          <w:szCs w:val="44"/>
          <w:lang w:val="en-US" w:eastAsia="zh-CN"/>
        </w:rPr>
        <w:t>]</w:t>
      </w:r>
      <w:r>
        <w:rPr>
          <w:rFonts w:hint="eastAsia" w:eastAsia="方正小标宋简体"/>
          <w:b/>
          <w:bCs/>
          <w:sz w:val="44"/>
          <w:szCs w:val="44"/>
          <w:lang w:val="en-US" w:eastAsia="zh-CN"/>
        </w:rPr>
        <w:t>号</w:t>
      </w:r>
      <w:r>
        <w:rPr>
          <w:rFonts w:hint="eastAsia" w:eastAsia="方正小标宋简体"/>
          <w:b/>
          <w:bCs/>
          <w:sz w:val="44"/>
          <w:szCs w:val="44"/>
        </w:rPr>
        <w:t>地块</w:t>
      </w:r>
    </w:p>
    <w:p w14:paraId="102EEB54">
      <w:pPr>
        <w:spacing w:line="560" w:lineRule="exact"/>
        <w:ind w:left="-214" w:leftChars="-102" w:right="-147" w:rightChars="-70"/>
        <w:jc w:val="center"/>
        <w:rPr>
          <w:rFonts w:eastAsia="方正小标宋简体"/>
          <w:b/>
          <w:bCs/>
          <w:sz w:val="44"/>
          <w:szCs w:val="44"/>
        </w:rPr>
      </w:pPr>
      <w:r>
        <w:rPr>
          <w:rFonts w:hint="eastAsia" w:eastAsia="方正小标宋简体"/>
          <w:b/>
          <w:bCs/>
          <w:sz w:val="44"/>
          <w:szCs w:val="44"/>
        </w:rPr>
        <w:t>国有建设用地使用权出让挂牌须知</w:t>
      </w:r>
    </w:p>
    <w:p w14:paraId="220D1AAF">
      <w:pPr>
        <w:spacing w:line="540" w:lineRule="exact"/>
        <w:ind w:left="-214" w:leftChars="-102" w:right="-147" w:rightChars="-70"/>
        <w:jc w:val="center"/>
        <w:rPr>
          <w:rFonts w:eastAsia="方正小标宋简体"/>
          <w:b/>
          <w:bCs/>
          <w:sz w:val="44"/>
          <w:szCs w:val="44"/>
        </w:rPr>
      </w:pPr>
    </w:p>
    <w:p w14:paraId="3597B318">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仿宋_GB2312"/>
          <w:sz w:val="32"/>
          <w:szCs w:val="32"/>
        </w:rPr>
      </w:pPr>
      <w:r>
        <w:rPr>
          <w:rFonts w:eastAsia="黑体"/>
          <w:bCs/>
          <w:sz w:val="32"/>
          <w:szCs w:val="32"/>
        </w:rPr>
        <w:t>一、</w:t>
      </w:r>
      <w:r>
        <w:rPr>
          <w:rFonts w:eastAsia="仿宋_GB2312"/>
          <w:sz w:val="32"/>
          <w:szCs w:val="32"/>
        </w:rPr>
        <w:t>按照相关法律法规及文件规定，本次国有建设用地使用权挂牌出让的具体组织实施由出让方委托乐山市土地矿权交易中心（以下称交易中心）承办。</w:t>
      </w:r>
    </w:p>
    <w:p w14:paraId="548229A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r>
        <w:rPr>
          <w:rFonts w:eastAsia="黑体"/>
          <w:bCs/>
          <w:sz w:val="32"/>
          <w:szCs w:val="32"/>
        </w:rPr>
        <w:t>二、</w:t>
      </w:r>
      <w:r>
        <w:rPr>
          <w:rFonts w:eastAsia="仿宋_GB2312"/>
          <w:sz w:val="32"/>
          <w:szCs w:val="32"/>
        </w:rPr>
        <w:t>国有建设用地使用权挂牌是指在规定的时间、指定的公开场合，由交易中心在乐山市土地矿权交易市场公布出让宗地的交易条件，利用乐山市公共资源交易服务中心网上交易系统（以下简称“网上交易系统”），以网上挂牌报价结合现场竞价结果确定国有建设用地使用权人的行为。</w:t>
      </w:r>
    </w:p>
    <w:p w14:paraId="0FD2C42A">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仿宋_GB2312"/>
          <w:sz w:val="32"/>
          <w:szCs w:val="32"/>
        </w:rPr>
      </w:pPr>
      <w:r>
        <w:rPr>
          <w:rFonts w:eastAsia="黑体"/>
          <w:bCs/>
          <w:sz w:val="32"/>
          <w:szCs w:val="32"/>
        </w:rPr>
        <w:t>三、</w:t>
      </w:r>
      <w:r>
        <w:rPr>
          <w:rFonts w:eastAsia="仿宋_GB2312"/>
          <w:sz w:val="32"/>
          <w:szCs w:val="32"/>
        </w:rPr>
        <w:t>本次国有建设用地使用权挂牌遵循公开、公平、公正和诚信的原则。</w:t>
      </w:r>
    </w:p>
    <w:p w14:paraId="7E21E34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仿宋_GB2312"/>
          <w:sz w:val="32"/>
          <w:szCs w:val="32"/>
        </w:rPr>
      </w:pPr>
      <w:r>
        <w:rPr>
          <w:rFonts w:eastAsia="黑体"/>
          <w:bCs/>
          <w:sz w:val="32"/>
          <w:szCs w:val="32"/>
        </w:rPr>
        <w:t>四、</w:t>
      </w:r>
      <w:r>
        <w:rPr>
          <w:rFonts w:eastAsia="仿宋_GB2312"/>
          <w:sz w:val="32"/>
          <w:szCs w:val="32"/>
        </w:rPr>
        <w:t>挂牌出让宗地范围内的地下资源、埋藏物不属于本次国有建设用地使用权出让范围。宗地范围内涉及地下文物的，按现行文物管理的相关法律法规办理。</w:t>
      </w:r>
    </w:p>
    <w:p w14:paraId="3E98459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五、答疑及现场踏勘</w:t>
      </w:r>
    </w:p>
    <w:p w14:paraId="0BAAC0E1">
      <w:pPr>
        <w:keepNext w:val="0"/>
        <w:keepLines w:val="0"/>
        <w:pageBreakBefore w:val="0"/>
        <w:widowControl/>
        <w:kinsoku/>
        <w:wordWrap/>
        <w:overflowPunct/>
        <w:topLinePunct w:val="0"/>
        <w:autoSpaceDE/>
        <w:autoSpaceDN/>
        <w:bidi w:val="0"/>
        <w:snapToGrid/>
        <w:spacing w:line="520" w:lineRule="exact"/>
        <w:ind w:firstLine="643" w:firstLineChars="200"/>
        <w:jc w:val="left"/>
        <w:textAlignment w:val="auto"/>
        <w:rPr>
          <w:rFonts w:eastAsia="黑体"/>
          <w:b/>
          <w:bCs/>
          <w:sz w:val="32"/>
          <w:szCs w:val="32"/>
        </w:rPr>
      </w:pPr>
      <w:r>
        <w:rPr>
          <w:rFonts w:eastAsia="黑体"/>
          <w:b/>
          <w:bCs/>
          <w:sz w:val="32"/>
          <w:szCs w:val="32"/>
        </w:rPr>
        <w:t>竞买申请人在提交《竞买申请书》前，必须认真仔细审阅挂牌文件内容并现场踏勘出让地块，全面了解出让地块现状、配套设施、规划条件等开发建设要求及交易规则等情况。若有异议或疑问的应在申请前向所对应的相关职能部门或主管单位书面提出。一旦提交《竞买申请书》，视为对出让地块现状和瑕疵无异议，充分认可、完全理解、自愿接受挂牌文件内容，并自愿履行相关责任及义务。竞得人不得以出让地块的现状、瑕疵或未拆迁清场为由对成交结果、签订的相关文件提出抗辩，不得要求退地、置换土地，不得要求退还竞买保证金（定金）、交易服务费、已缴成交价款和延期支付成交价款等。</w:t>
      </w:r>
    </w:p>
    <w:p w14:paraId="0BDF1F5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六、交易文件包含下列文件</w:t>
      </w:r>
    </w:p>
    <w:p w14:paraId="7B469CC0">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（一）乐山市国有建设用地使用权出让公告；</w:t>
      </w:r>
    </w:p>
    <w:p w14:paraId="58ECE608">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（二）国有建设用地使用权出让挂牌须知；</w:t>
      </w:r>
    </w:p>
    <w:p w14:paraId="36852F21">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（三）竞买申请书；</w:t>
      </w:r>
    </w:p>
    <w:p w14:paraId="434E75AC">
      <w:pPr>
        <w:pStyle w:val="43"/>
        <w:keepNext w:val="0"/>
        <w:keepLines w:val="0"/>
        <w:pageBreakBefore w:val="0"/>
        <w:kinsoku/>
        <w:wordWrap/>
        <w:overflowPunct/>
        <w:topLinePunct w:val="0"/>
        <w:autoSpaceDE/>
        <w:autoSpaceDN/>
        <w:bidi w:val="0"/>
        <w:snapToGrid/>
        <w:spacing w:line="520" w:lineRule="exact"/>
        <w:textAlignment w:val="auto"/>
        <w:rPr>
          <w:rFonts w:ascii="Times New Roman" w:eastAsia="楷体_GB2312"/>
        </w:rPr>
      </w:pPr>
      <w:r>
        <w:rPr>
          <w:rFonts w:ascii="Times New Roman" w:eastAsia="楷体_GB2312"/>
        </w:rPr>
        <w:t xml:space="preserve">    （四）竞买协议；</w:t>
      </w:r>
    </w:p>
    <w:p w14:paraId="4853611B">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（五）竞买资格确认书；</w:t>
      </w:r>
    </w:p>
    <w:p w14:paraId="1EE27F50">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（六）最高报价确认书；</w:t>
      </w:r>
    </w:p>
    <w:p w14:paraId="77B6BEE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（七）成交确认书；</w:t>
      </w:r>
    </w:p>
    <w:p w14:paraId="1155142C">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（八）授权委托书；</w:t>
      </w:r>
    </w:p>
    <w:p w14:paraId="00DF89C9">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eastAsia="楷体_GB2312"/>
          <w:sz w:val="32"/>
          <w:szCs w:val="32"/>
        </w:rPr>
        <w:t>（九）国有建设用地使用权出让合同；</w:t>
      </w:r>
    </w:p>
    <w:p w14:paraId="38AAD54E">
      <w:pPr>
        <w:keepNext w:val="0"/>
        <w:keepLines w:val="0"/>
        <w:pageBreakBefore w:val="0"/>
        <w:widowControl w:val="0"/>
        <w:kinsoku/>
        <w:wordWrap/>
        <w:overflowPunct/>
        <w:topLinePunct w:val="0"/>
        <w:autoSpaceDE/>
        <w:autoSpaceDN/>
        <w:bidi w:val="0"/>
        <w:adjustRightInd/>
        <w:snapToGrid/>
        <w:spacing w:line="600" w:lineRule="exact"/>
        <w:ind w:left="-2" w:leftChars="-1" w:firstLine="640" w:firstLineChars="200"/>
        <w:textAlignment w:val="auto"/>
        <w:rPr>
          <w:rFonts w:hint="eastAsia" w:eastAsia="楷体_GB2312"/>
          <w:sz w:val="32"/>
          <w:szCs w:val="32"/>
          <w:lang w:eastAsia="zh-CN"/>
        </w:rPr>
      </w:pPr>
      <w:r>
        <w:rPr>
          <w:rFonts w:hint="eastAsia" w:eastAsia="楷体_GB2312"/>
          <w:sz w:val="32"/>
          <w:szCs w:val="32"/>
        </w:rPr>
        <w:t>（十）乐山市</w:t>
      </w:r>
      <w:r>
        <w:rPr>
          <w:rFonts w:hint="eastAsia" w:eastAsia="楷体_GB2312"/>
          <w:sz w:val="32"/>
          <w:szCs w:val="32"/>
          <w:lang w:eastAsia="zh-CN"/>
        </w:rPr>
        <w:t>市中区</w:t>
      </w:r>
      <w:r>
        <w:rPr>
          <w:rFonts w:hint="eastAsia" w:eastAsia="楷体_GB2312"/>
          <w:sz w:val="32"/>
          <w:szCs w:val="32"/>
        </w:rPr>
        <w:t>自然资源局《关于</w:t>
      </w:r>
      <w:r>
        <w:rPr>
          <w:rFonts w:hint="eastAsia" w:eastAsia="楷体_GB2312"/>
          <w:sz w:val="32"/>
          <w:szCs w:val="32"/>
          <w:lang w:eastAsia="zh-CN"/>
        </w:rPr>
        <w:t>乐山市市中区</w:t>
      </w:r>
      <w:r>
        <w:rPr>
          <w:rFonts w:hint="eastAsia" w:eastAsia="楷体_GB2312"/>
          <w:sz w:val="32"/>
          <w:szCs w:val="32"/>
          <w:lang w:val="en-US" w:eastAsia="zh-CN"/>
        </w:rPr>
        <w:t>全福街道台子村3组1宗国有建设用地的规划条件</w:t>
      </w:r>
      <w:r>
        <w:rPr>
          <w:rFonts w:hint="eastAsia" w:eastAsia="楷体_GB2312"/>
          <w:sz w:val="32"/>
          <w:szCs w:val="32"/>
        </w:rPr>
        <w:t>》乐</w:t>
      </w:r>
      <w:r>
        <w:rPr>
          <w:rFonts w:hint="eastAsia" w:eastAsia="楷体_GB2312"/>
          <w:sz w:val="32"/>
          <w:szCs w:val="32"/>
          <w:lang w:eastAsia="zh-CN"/>
        </w:rPr>
        <w:t>中</w:t>
      </w:r>
      <w:r>
        <w:rPr>
          <w:rFonts w:hint="eastAsia" w:eastAsia="楷体_GB2312"/>
          <w:sz w:val="32"/>
          <w:szCs w:val="32"/>
        </w:rPr>
        <w:t>自然资规</w:t>
      </w:r>
      <w:r>
        <w:rPr>
          <w:rFonts w:hint="eastAsia" w:eastAsia="楷体_GB2312"/>
          <w:sz w:val="32"/>
          <w:szCs w:val="32"/>
          <w:lang w:eastAsia="zh-CN"/>
        </w:rPr>
        <w:t>条</w:t>
      </w:r>
      <w:r>
        <w:rPr>
          <w:rFonts w:hint="eastAsia" w:eastAsia="楷体_GB2312"/>
          <w:sz w:val="32"/>
          <w:szCs w:val="32"/>
        </w:rPr>
        <w:t>〔20</w:t>
      </w:r>
      <w:r>
        <w:rPr>
          <w:rFonts w:hint="eastAsia" w:eastAsia="楷体_GB2312"/>
          <w:sz w:val="32"/>
          <w:szCs w:val="32"/>
          <w:lang w:val="en-US" w:eastAsia="zh-CN"/>
        </w:rPr>
        <w:t>24</w:t>
      </w:r>
      <w:r>
        <w:rPr>
          <w:rFonts w:hint="eastAsia" w:eastAsia="楷体_GB2312"/>
          <w:sz w:val="32"/>
          <w:szCs w:val="32"/>
        </w:rPr>
        <w:t>〕</w:t>
      </w:r>
      <w:r>
        <w:rPr>
          <w:rFonts w:hint="eastAsia" w:eastAsia="楷体_GB2312"/>
          <w:sz w:val="32"/>
          <w:szCs w:val="32"/>
          <w:lang w:val="en-US" w:eastAsia="zh-CN"/>
        </w:rPr>
        <w:t>2</w:t>
      </w:r>
      <w:r>
        <w:rPr>
          <w:rFonts w:hint="eastAsia" w:eastAsia="楷体_GB2312"/>
          <w:sz w:val="32"/>
          <w:szCs w:val="32"/>
        </w:rPr>
        <w:t>号</w:t>
      </w:r>
      <w:r>
        <w:rPr>
          <w:rFonts w:hint="eastAsia" w:eastAsia="楷体_GB2312"/>
          <w:sz w:val="32"/>
          <w:szCs w:val="32"/>
          <w:lang w:eastAsia="zh-CN"/>
        </w:rPr>
        <w:t>；</w:t>
      </w:r>
    </w:p>
    <w:p w14:paraId="6B3ED718">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eastAsia" w:eastAsia="楷体_GB2312"/>
          <w:sz w:val="32"/>
          <w:szCs w:val="32"/>
          <w:lang w:eastAsia="zh-CN"/>
        </w:rPr>
      </w:pPr>
      <w:r>
        <w:rPr>
          <w:rFonts w:hint="eastAsia" w:eastAsia="楷体_GB2312"/>
          <w:sz w:val="32"/>
          <w:szCs w:val="32"/>
        </w:rPr>
        <w:t>（十</w:t>
      </w:r>
      <w:r>
        <w:rPr>
          <w:rFonts w:hint="eastAsia" w:eastAsia="楷体_GB2312"/>
          <w:sz w:val="32"/>
          <w:szCs w:val="32"/>
          <w:lang w:eastAsia="zh-CN"/>
        </w:rPr>
        <w:t>一</w:t>
      </w:r>
      <w:r>
        <w:rPr>
          <w:rFonts w:hint="eastAsia" w:eastAsia="楷体_GB2312"/>
          <w:sz w:val="32"/>
          <w:szCs w:val="32"/>
        </w:rPr>
        <w:t>）位置示意图</w:t>
      </w:r>
      <w:r>
        <w:rPr>
          <w:rFonts w:hint="eastAsia" w:eastAsia="楷体_GB2312"/>
          <w:sz w:val="32"/>
          <w:szCs w:val="32"/>
          <w:lang w:eastAsia="zh-CN"/>
        </w:rPr>
        <w:t>；</w:t>
      </w:r>
    </w:p>
    <w:p w14:paraId="23BCF1F8">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hint="eastAsia" w:eastAsia="楷体_GB2312"/>
          <w:sz w:val="32"/>
          <w:szCs w:val="32"/>
          <w:lang w:eastAsia="zh-CN"/>
        </w:rPr>
      </w:pPr>
      <w:r>
        <w:rPr>
          <w:rFonts w:hint="eastAsia" w:eastAsia="楷体_GB2312"/>
          <w:sz w:val="32"/>
          <w:szCs w:val="32"/>
        </w:rPr>
        <w:t>（十</w:t>
      </w:r>
      <w:r>
        <w:rPr>
          <w:rFonts w:hint="eastAsia" w:eastAsia="楷体_GB2312"/>
          <w:sz w:val="32"/>
          <w:szCs w:val="32"/>
          <w:lang w:eastAsia="zh-CN"/>
        </w:rPr>
        <w:t>二</w:t>
      </w:r>
      <w:r>
        <w:rPr>
          <w:rFonts w:hint="eastAsia" w:eastAsia="楷体_GB2312"/>
          <w:sz w:val="32"/>
          <w:szCs w:val="32"/>
        </w:rPr>
        <w:t>）宗地图</w:t>
      </w:r>
      <w:r>
        <w:rPr>
          <w:rFonts w:hint="eastAsia" w:eastAsia="楷体_GB2312"/>
          <w:sz w:val="32"/>
          <w:szCs w:val="32"/>
          <w:lang w:eastAsia="zh-CN"/>
        </w:rPr>
        <w:t>；</w:t>
      </w:r>
    </w:p>
    <w:p w14:paraId="0AAEEB9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楷体_GB2312"/>
          <w:sz w:val="32"/>
          <w:szCs w:val="32"/>
        </w:rPr>
      </w:pPr>
      <w:r>
        <w:rPr>
          <w:rFonts w:hint="eastAsia" w:eastAsia="楷体_GB2312"/>
          <w:sz w:val="32"/>
          <w:szCs w:val="32"/>
        </w:rPr>
        <w:t>（十</w:t>
      </w:r>
      <w:r>
        <w:rPr>
          <w:rFonts w:hint="eastAsia" w:eastAsia="楷体_GB2312"/>
          <w:sz w:val="32"/>
          <w:szCs w:val="32"/>
          <w:lang w:eastAsia="zh-CN"/>
        </w:rPr>
        <w:t>三</w:t>
      </w:r>
      <w:r>
        <w:rPr>
          <w:rFonts w:hint="eastAsia" w:eastAsia="楷体_GB2312"/>
          <w:sz w:val="32"/>
          <w:szCs w:val="32"/>
        </w:rPr>
        <w:t>）界址点成果表。</w:t>
      </w:r>
    </w:p>
    <w:p w14:paraId="505A1736">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黑体"/>
          <w:bCs/>
          <w:sz w:val="32"/>
          <w:szCs w:val="32"/>
        </w:rPr>
      </w:pPr>
      <w:r>
        <w:rPr>
          <w:rFonts w:eastAsia="黑体"/>
          <w:bCs/>
          <w:sz w:val="32"/>
          <w:szCs w:val="32"/>
        </w:rPr>
        <w:t>七、地块的基本情况、规划控制指标及建设要求</w:t>
      </w:r>
    </w:p>
    <w:p w14:paraId="1726505F">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楷体_GB2312"/>
          <w:b/>
          <w:sz w:val="32"/>
          <w:szCs w:val="32"/>
        </w:rPr>
      </w:pPr>
      <w:r>
        <w:rPr>
          <w:rFonts w:eastAsia="楷体_GB2312"/>
          <w:b/>
          <w:sz w:val="32"/>
          <w:szCs w:val="32"/>
        </w:rPr>
        <w:t>（一）出让宗地基本情况</w:t>
      </w:r>
    </w:p>
    <w:p w14:paraId="7850BA08">
      <w:pPr>
        <w:keepNext w:val="0"/>
        <w:keepLines w:val="0"/>
        <w:pageBreakBefore w:val="0"/>
        <w:kinsoku/>
        <w:wordWrap/>
        <w:overflowPunct/>
        <w:topLinePunct w:val="0"/>
        <w:autoSpaceDE/>
        <w:autoSpaceDN/>
        <w:bidi w:val="0"/>
        <w:snapToGrid/>
        <w:spacing w:line="520" w:lineRule="exact"/>
        <w:ind w:firstLine="640" w:firstLineChars="200"/>
        <w:textAlignment w:val="auto"/>
        <w:rPr>
          <w:rFonts w:ascii="仿宋_GB2312" w:eastAsia="仿宋_GB2312"/>
          <w:sz w:val="32"/>
          <w:szCs w:val="32"/>
        </w:rPr>
      </w:pPr>
      <w:r>
        <w:rPr>
          <w:rFonts w:eastAsia="仿宋_GB2312"/>
          <w:sz w:val="32"/>
          <w:szCs w:val="32"/>
        </w:rPr>
        <w:t>1</w:t>
      </w:r>
      <w:r>
        <w:rPr>
          <w:rFonts w:hint="eastAsia" w:eastAsia="仿宋_GB2312"/>
          <w:bCs/>
          <w:sz w:val="32"/>
          <w:szCs w:val="32"/>
        </w:rPr>
        <w:t>．</w:t>
      </w:r>
      <w:r>
        <w:rPr>
          <w:rFonts w:hint="eastAsia" w:eastAsia="仿宋_GB2312"/>
          <w:sz w:val="32"/>
          <w:szCs w:val="32"/>
        </w:rPr>
        <w:t>宗地坐落：</w:t>
      </w:r>
      <w:r>
        <w:rPr>
          <w:rFonts w:hint="eastAsia" w:eastAsia="仿宋_GB2312"/>
          <w:sz w:val="32"/>
          <w:szCs w:val="32"/>
          <w:lang w:eastAsia="zh-CN"/>
        </w:rPr>
        <w:t>全福街道台子村</w:t>
      </w:r>
      <w:r>
        <w:rPr>
          <w:rFonts w:hint="eastAsia" w:eastAsia="仿宋_GB2312"/>
          <w:sz w:val="32"/>
          <w:szCs w:val="32"/>
          <w:lang w:val="en-US" w:eastAsia="zh-CN"/>
        </w:rPr>
        <w:t>3组</w:t>
      </w:r>
      <w:r>
        <w:rPr>
          <w:rFonts w:hint="eastAsia" w:eastAsia="仿宋_GB2312"/>
          <w:sz w:val="32"/>
          <w:szCs w:val="32"/>
        </w:rPr>
        <w:t>。</w:t>
      </w:r>
    </w:p>
    <w:p w14:paraId="73FBA94D">
      <w:pPr>
        <w:keepNext w:val="0"/>
        <w:keepLines w:val="0"/>
        <w:pageBreakBefore w:val="0"/>
        <w:kinsoku/>
        <w:wordWrap/>
        <w:overflowPunct/>
        <w:topLinePunct w:val="0"/>
        <w:autoSpaceDE/>
        <w:autoSpaceDN/>
        <w:bidi w:val="0"/>
        <w:snapToGrid/>
        <w:spacing w:line="520" w:lineRule="exact"/>
        <w:ind w:firstLine="640" w:firstLineChars="200"/>
        <w:textAlignment w:val="auto"/>
        <w:rPr>
          <w:rFonts w:ascii="仿宋_GB2312" w:eastAsia="仿宋_GB2312"/>
          <w:sz w:val="32"/>
          <w:szCs w:val="32"/>
        </w:rPr>
      </w:pPr>
      <w:r>
        <w:rPr>
          <w:rFonts w:eastAsia="仿宋_GB2312"/>
          <w:sz w:val="32"/>
          <w:szCs w:val="32"/>
        </w:rPr>
        <w:t>2</w:t>
      </w:r>
      <w:r>
        <w:rPr>
          <w:rFonts w:hint="eastAsia" w:eastAsia="仿宋_GB2312"/>
          <w:bCs/>
          <w:sz w:val="32"/>
          <w:szCs w:val="32"/>
        </w:rPr>
        <w:t>．</w:t>
      </w:r>
      <w:r>
        <w:rPr>
          <w:rFonts w:hint="eastAsia" w:eastAsia="仿宋_GB2312"/>
          <w:sz w:val="32"/>
          <w:szCs w:val="32"/>
        </w:rPr>
        <w:t>宗地四至：</w:t>
      </w:r>
      <w:r>
        <w:rPr>
          <w:rFonts w:hint="eastAsia" w:ascii="仿宋_GB2312" w:hAnsi="仿宋_GB2312" w:eastAsia="仿宋_GB2312" w:cs="仿宋_GB2312"/>
          <w:sz w:val="32"/>
          <w:szCs w:val="32"/>
        </w:rPr>
        <w:t>东临</w:t>
      </w:r>
      <w:r>
        <w:rPr>
          <w:rFonts w:hint="eastAsia" w:eastAsia="仿宋_GB2312"/>
          <w:sz w:val="32"/>
          <w:szCs w:val="32"/>
          <w:lang w:eastAsia="zh-CN"/>
        </w:rPr>
        <w:t>乐山市天朗电器贸易有限公司</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西</w:t>
      </w:r>
      <w:r>
        <w:rPr>
          <w:rFonts w:hint="eastAsia" w:ascii="仿宋_GB2312" w:hAnsi="仿宋_GB2312" w:eastAsia="仿宋_GB2312" w:cs="仿宋_GB2312"/>
          <w:sz w:val="32"/>
          <w:szCs w:val="32"/>
        </w:rPr>
        <w:t>临</w:t>
      </w:r>
      <w:r>
        <w:rPr>
          <w:rFonts w:hint="eastAsia" w:eastAsia="仿宋_GB2312"/>
          <w:sz w:val="32"/>
          <w:szCs w:val="32"/>
          <w:lang w:eastAsia="zh-CN"/>
        </w:rPr>
        <w:t>国有土地和四川优涵食品有限公司</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南</w:t>
      </w:r>
      <w:r>
        <w:rPr>
          <w:rFonts w:hint="eastAsia" w:ascii="仿宋_GB2312" w:hAnsi="仿宋_GB2312" w:eastAsia="仿宋_GB2312" w:cs="仿宋_GB2312"/>
          <w:sz w:val="32"/>
          <w:szCs w:val="32"/>
        </w:rPr>
        <w:t>临</w:t>
      </w:r>
      <w:r>
        <w:rPr>
          <w:rFonts w:hint="eastAsia" w:eastAsia="仿宋_GB2312"/>
          <w:sz w:val="32"/>
          <w:szCs w:val="32"/>
          <w:lang w:eastAsia="zh-CN"/>
        </w:rPr>
        <w:t>乐井路</w:t>
      </w:r>
      <w:r>
        <w:rPr>
          <w:rFonts w:hint="eastAsia" w:ascii="仿宋_GB2312" w:hAnsi="仿宋_GB2312" w:eastAsia="仿宋_GB2312" w:cs="仿宋_GB2312"/>
          <w:sz w:val="32"/>
          <w:szCs w:val="32"/>
        </w:rPr>
        <w:t>；北临</w:t>
      </w:r>
      <w:r>
        <w:rPr>
          <w:rFonts w:hint="eastAsia" w:ascii="仿宋_GB2312" w:hAnsi="仿宋_GB2312" w:eastAsia="仿宋_GB2312" w:cs="仿宋_GB2312"/>
          <w:sz w:val="32"/>
          <w:szCs w:val="32"/>
          <w:lang w:eastAsia="zh-CN"/>
        </w:rPr>
        <w:t>全福街道台子村</w:t>
      </w:r>
      <w:r>
        <w:rPr>
          <w:rFonts w:hint="eastAsia" w:ascii="仿宋_GB2312" w:hAnsi="仿宋_GB2312" w:eastAsia="仿宋_GB2312" w:cs="仿宋_GB2312"/>
          <w:sz w:val="32"/>
          <w:szCs w:val="32"/>
          <w:lang w:val="en-US" w:eastAsia="zh-CN"/>
        </w:rPr>
        <w:t>3组、乐山市天朗物流有限责任公司和国有土地</w:t>
      </w:r>
      <w:r>
        <w:rPr>
          <w:rFonts w:hint="eastAsia" w:ascii="仿宋_GB2312" w:hAnsi="仿宋_GB2312" w:eastAsia="仿宋_GB2312" w:cs="仿宋_GB2312"/>
          <w:sz w:val="32"/>
          <w:szCs w:val="32"/>
        </w:rPr>
        <w:t>。</w:t>
      </w:r>
    </w:p>
    <w:p w14:paraId="41639B58">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仿宋_GB2312"/>
          <w:sz w:val="32"/>
          <w:szCs w:val="32"/>
        </w:rPr>
      </w:pPr>
      <w:r>
        <w:rPr>
          <w:rFonts w:eastAsia="仿宋_GB2312"/>
          <w:sz w:val="32"/>
          <w:szCs w:val="32"/>
        </w:rPr>
        <w:t>3</w:t>
      </w:r>
      <w:r>
        <w:rPr>
          <w:rFonts w:hint="eastAsia" w:eastAsia="仿宋_GB2312"/>
          <w:bCs/>
          <w:sz w:val="32"/>
          <w:szCs w:val="32"/>
        </w:rPr>
        <w:t>．</w:t>
      </w:r>
      <w:r>
        <w:rPr>
          <w:rFonts w:hint="eastAsia" w:eastAsia="仿宋_GB2312"/>
          <w:sz w:val="32"/>
          <w:szCs w:val="32"/>
        </w:rPr>
        <w:t>宗地编号：</w:t>
      </w:r>
      <w:r>
        <w:rPr>
          <w:rFonts w:hint="eastAsia" w:eastAsia="楷体_GB2312"/>
          <w:sz w:val="32"/>
          <w:szCs w:val="32"/>
        </w:rPr>
        <w:t>乐中挂〔</w:t>
      </w:r>
      <w:r>
        <w:rPr>
          <w:rFonts w:eastAsia="楷体_GB2312"/>
          <w:sz w:val="32"/>
          <w:szCs w:val="32"/>
        </w:rPr>
        <w:t>20</w:t>
      </w:r>
      <w:r>
        <w:rPr>
          <w:rFonts w:hint="eastAsia" w:eastAsia="楷体_GB2312"/>
          <w:sz w:val="32"/>
          <w:szCs w:val="32"/>
          <w:lang w:val="en-US" w:eastAsia="zh-CN"/>
        </w:rPr>
        <w:t>24</w:t>
      </w:r>
      <w:r>
        <w:rPr>
          <w:rFonts w:hint="eastAsia" w:eastAsia="楷体_GB2312"/>
          <w:sz w:val="32"/>
          <w:szCs w:val="32"/>
        </w:rPr>
        <w:t>〕</w:t>
      </w:r>
      <w:r>
        <w:rPr>
          <w:rFonts w:hint="eastAsia" w:eastAsia="楷体_GB2312"/>
          <w:sz w:val="32"/>
          <w:szCs w:val="32"/>
          <w:lang w:val="en-US" w:eastAsia="zh-CN"/>
        </w:rPr>
        <w:t>2</w:t>
      </w:r>
      <w:r>
        <w:rPr>
          <w:rFonts w:hint="eastAsia" w:eastAsia="楷体_GB2312"/>
          <w:sz w:val="32"/>
          <w:szCs w:val="32"/>
        </w:rPr>
        <w:t>号</w:t>
      </w:r>
      <w:r>
        <w:rPr>
          <w:rFonts w:hint="eastAsia" w:eastAsia="仿宋_GB2312"/>
          <w:sz w:val="32"/>
          <w:szCs w:val="32"/>
        </w:rPr>
        <w:t>。</w:t>
      </w:r>
    </w:p>
    <w:p w14:paraId="5E670981">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仿宋_GB2312"/>
          <w:b/>
          <w:sz w:val="32"/>
          <w:szCs w:val="32"/>
        </w:rPr>
      </w:pPr>
      <w:r>
        <w:rPr>
          <w:rFonts w:eastAsia="仿宋_GB2312"/>
          <w:sz w:val="32"/>
          <w:szCs w:val="32"/>
        </w:rPr>
        <w:t>4</w:t>
      </w:r>
      <w:r>
        <w:rPr>
          <w:rFonts w:hint="eastAsia" w:eastAsia="仿宋_GB2312"/>
          <w:bCs/>
          <w:sz w:val="32"/>
          <w:szCs w:val="32"/>
        </w:rPr>
        <w:t>．</w:t>
      </w:r>
      <w:r>
        <w:rPr>
          <w:rFonts w:hint="eastAsia" w:eastAsia="仿宋_GB2312"/>
          <w:b/>
          <w:sz w:val="32"/>
          <w:szCs w:val="32"/>
        </w:rPr>
        <w:t>宗地面积：</w:t>
      </w:r>
      <w:r>
        <w:rPr>
          <w:rFonts w:hint="eastAsia" w:eastAsia="仿宋_GB2312"/>
          <w:b/>
          <w:sz w:val="32"/>
          <w:szCs w:val="32"/>
          <w:lang w:val="en-US" w:eastAsia="zh-CN"/>
        </w:rPr>
        <w:t>6567.09</w:t>
      </w:r>
      <w:r>
        <w:rPr>
          <w:rFonts w:hint="eastAsia" w:eastAsia="仿宋_GB2312"/>
          <w:b/>
          <w:sz w:val="32"/>
          <w:szCs w:val="32"/>
        </w:rPr>
        <w:t>平方米（合</w:t>
      </w:r>
      <w:r>
        <w:rPr>
          <w:rFonts w:hint="eastAsia" w:eastAsia="仿宋_GB2312"/>
          <w:b/>
          <w:sz w:val="32"/>
          <w:szCs w:val="32"/>
          <w:lang w:val="en-US" w:eastAsia="zh-CN"/>
        </w:rPr>
        <w:t>9.85</w:t>
      </w:r>
      <w:r>
        <w:rPr>
          <w:rFonts w:hint="eastAsia" w:eastAsia="仿宋_GB2312"/>
          <w:b/>
          <w:sz w:val="32"/>
          <w:szCs w:val="32"/>
        </w:rPr>
        <w:t>亩）。</w:t>
      </w:r>
    </w:p>
    <w:p w14:paraId="16CBEA73">
      <w:pPr>
        <w:keepNext w:val="0"/>
        <w:keepLines w:val="0"/>
        <w:pageBreakBefore w:val="0"/>
        <w:kinsoku/>
        <w:wordWrap/>
        <w:overflowPunct/>
        <w:topLinePunct w:val="0"/>
        <w:autoSpaceDE/>
        <w:autoSpaceDN/>
        <w:bidi w:val="0"/>
        <w:snapToGrid/>
        <w:spacing w:line="520" w:lineRule="exact"/>
        <w:ind w:firstLine="640" w:firstLineChars="200"/>
        <w:textAlignment w:val="auto"/>
        <w:rPr>
          <w:rFonts w:ascii="仿宋_GB2312" w:hAnsi="仿宋" w:eastAsia="仿宋_GB2312"/>
          <w:sz w:val="32"/>
          <w:szCs w:val="32"/>
        </w:rPr>
      </w:pPr>
      <w:r>
        <w:rPr>
          <w:rFonts w:eastAsia="仿宋_GB2312"/>
          <w:sz w:val="32"/>
          <w:szCs w:val="32"/>
        </w:rPr>
        <w:t>5</w:t>
      </w:r>
      <w:r>
        <w:rPr>
          <w:rFonts w:hint="eastAsia" w:eastAsia="仿宋_GB2312"/>
          <w:bCs/>
          <w:sz w:val="32"/>
          <w:szCs w:val="32"/>
        </w:rPr>
        <w:t>．</w:t>
      </w:r>
      <w:r>
        <w:rPr>
          <w:rFonts w:hint="eastAsia" w:eastAsia="仿宋_GB2312"/>
          <w:b/>
          <w:sz w:val="32"/>
          <w:szCs w:val="32"/>
        </w:rPr>
        <w:t>宗地用途：</w:t>
      </w:r>
      <w:r>
        <w:rPr>
          <w:rFonts w:hint="eastAsia" w:eastAsia="仿宋_GB2312"/>
          <w:b/>
          <w:sz w:val="32"/>
          <w:szCs w:val="32"/>
          <w:lang w:eastAsia="zh-CN"/>
        </w:rPr>
        <w:t>仓储用地</w:t>
      </w:r>
      <w:r>
        <w:rPr>
          <w:rFonts w:hint="eastAsia" w:ascii="仿宋_GB2312" w:eastAsia="仿宋_GB2312"/>
          <w:b/>
          <w:sz w:val="32"/>
          <w:szCs w:val="32"/>
        </w:rPr>
        <w:t>。</w:t>
      </w:r>
    </w:p>
    <w:p w14:paraId="1B141FF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
          <w:sz w:val="32"/>
          <w:szCs w:val="32"/>
        </w:rPr>
      </w:pPr>
      <w:r>
        <w:rPr>
          <w:rFonts w:eastAsia="仿宋_GB2312"/>
          <w:sz w:val="32"/>
          <w:szCs w:val="32"/>
        </w:rPr>
        <w:t>6</w:t>
      </w:r>
      <w:r>
        <w:rPr>
          <w:rFonts w:hint="eastAsia" w:eastAsia="仿宋_GB2312"/>
          <w:sz w:val="32"/>
          <w:szCs w:val="32"/>
        </w:rPr>
        <w:t>．</w:t>
      </w:r>
      <w:r>
        <w:rPr>
          <w:rFonts w:hint="eastAsia" w:eastAsia="仿宋_GB2312"/>
          <w:b/>
          <w:sz w:val="32"/>
          <w:szCs w:val="32"/>
        </w:rPr>
        <w:t>出让年期：</w:t>
      </w:r>
      <w:r>
        <w:rPr>
          <w:rFonts w:hint="eastAsia" w:eastAsia="仿宋_GB2312"/>
          <w:b/>
          <w:sz w:val="32"/>
          <w:szCs w:val="32"/>
          <w:lang w:val="en-US" w:eastAsia="zh-CN"/>
        </w:rPr>
        <w:t>50</w:t>
      </w:r>
      <w:r>
        <w:rPr>
          <w:rFonts w:hint="eastAsia" w:eastAsia="仿宋_GB2312"/>
          <w:b/>
          <w:sz w:val="32"/>
          <w:szCs w:val="32"/>
        </w:rPr>
        <w:t>年，以交付土地之日起计算。</w:t>
      </w:r>
    </w:p>
    <w:p w14:paraId="7AE07156">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楷体_GB2312"/>
          <w:b/>
          <w:sz w:val="32"/>
          <w:szCs w:val="32"/>
        </w:rPr>
      </w:pPr>
      <w:r>
        <w:rPr>
          <w:rFonts w:hint="eastAsia" w:eastAsia="楷体_GB2312"/>
          <w:b/>
          <w:sz w:val="32"/>
          <w:szCs w:val="32"/>
        </w:rPr>
        <w:t>（二）用地建设要求</w:t>
      </w:r>
    </w:p>
    <w:p w14:paraId="54054CCD">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eastAsia="楷体_GB2312"/>
          <w:b/>
          <w:sz w:val="32"/>
          <w:szCs w:val="32"/>
        </w:rPr>
        <w:t>1</w:t>
      </w:r>
      <w:r>
        <w:rPr>
          <w:rFonts w:hint="eastAsia" w:eastAsia="仿宋_GB2312"/>
          <w:b/>
          <w:bCs/>
          <w:sz w:val="32"/>
          <w:szCs w:val="32"/>
        </w:rPr>
        <w:t>．</w:t>
      </w:r>
      <w:r>
        <w:rPr>
          <w:rFonts w:hint="eastAsia" w:eastAsia="楷体_GB2312"/>
          <w:b/>
          <w:sz w:val="32"/>
          <w:szCs w:val="32"/>
        </w:rPr>
        <w:t>主要规划要求</w:t>
      </w:r>
    </w:p>
    <w:p w14:paraId="7840EC61">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ascii="仿宋_GB2312" w:eastAsia="仿宋_GB2312"/>
          <w:b/>
          <w:sz w:val="32"/>
          <w:szCs w:val="32"/>
        </w:rPr>
      </w:pPr>
      <w:r>
        <w:rPr>
          <w:rFonts w:hint="eastAsia" w:eastAsia="仿宋_GB2312"/>
          <w:b/>
          <w:sz w:val="32"/>
          <w:szCs w:val="32"/>
        </w:rPr>
        <w:t>（</w:t>
      </w:r>
      <w:r>
        <w:rPr>
          <w:rFonts w:eastAsia="仿宋_GB2312"/>
          <w:b/>
          <w:sz w:val="32"/>
          <w:szCs w:val="32"/>
        </w:rPr>
        <w:t>1</w:t>
      </w:r>
      <w:r>
        <w:rPr>
          <w:rFonts w:hint="eastAsia" w:eastAsia="仿宋_GB2312"/>
          <w:b/>
          <w:sz w:val="32"/>
          <w:szCs w:val="32"/>
        </w:rPr>
        <w:t>）用地性质：</w:t>
      </w:r>
      <w:r>
        <w:rPr>
          <w:rFonts w:hint="eastAsia" w:eastAsia="仿宋_GB2312"/>
          <w:b/>
          <w:sz w:val="32"/>
          <w:szCs w:val="32"/>
          <w:lang w:eastAsia="zh-CN"/>
        </w:rPr>
        <w:t>物流仓储用地</w:t>
      </w:r>
      <w:r>
        <w:rPr>
          <w:rFonts w:hint="eastAsia" w:ascii="仿宋_GB2312" w:eastAsia="仿宋_GB2312"/>
          <w:b/>
          <w:sz w:val="32"/>
          <w:szCs w:val="32"/>
        </w:rPr>
        <w:t>。</w:t>
      </w:r>
      <w:r>
        <w:rPr>
          <w:rFonts w:ascii="仿宋_GB2312" w:eastAsia="仿宋_GB2312"/>
          <w:b/>
          <w:sz w:val="32"/>
          <w:szCs w:val="32"/>
        </w:rPr>
        <w:t xml:space="preserve"> </w:t>
      </w:r>
    </w:p>
    <w:p w14:paraId="226EFB13">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仿宋_GB2312"/>
          <w:b/>
          <w:sz w:val="32"/>
          <w:szCs w:val="32"/>
        </w:rPr>
      </w:pPr>
      <w:r>
        <w:rPr>
          <w:rFonts w:hint="eastAsia" w:eastAsia="仿宋_GB2312"/>
          <w:b/>
          <w:sz w:val="32"/>
          <w:szCs w:val="32"/>
        </w:rPr>
        <w:t>（</w:t>
      </w:r>
      <w:r>
        <w:rPr>
          <w:rFonts w:eastAsia="仿宋_GB2312"/>
          <w:b/>
          <w:sz w:val="32"/>
          <w:szCs w:val="32"/>
        </w:rPr>
        <w:t>2</w:t>
      </w:r>
      <w:r>
        <w:rPr>
          <w:rFonts w:hint="eastAsia" w:eastAsia="仿宋_GB2312"/>
          <w:b/>
          <w:sz w:val="32"/>
          <w:szCs w:val="32"/>
        </w:rPr>
        <w:t>）容积率：</w:t>
      </w:r>
      <w:r>
        <w:rPr>
          <w:rFonts w:hint="eastAsia" w:eastAsia="仿宋_GB2312"/>
          <w:b/>
          <w:sz w:val="32"/>
          <w:szCs w:val="32"/>
          <w:lang w:eastAsia="zh-CN"/>
        </w:rPr>
        <w:t>小于等于</w:t>
      </w:r>
      <w:r>
        <w:rPr>
          <w:rFonts w:hint="eastAsia" w:eastAsia="仿宋_GB2312"/>
          <w:b/>
          <w:sz w:val="32"/>
          <w:szCs w:val="32"/>
          <w:lang w:val="en-US" w:eastAsia="zh-CN"/>
        </w:rPr>
        <w:t>1.5</w:t>
      </w:r>
      <w:r>
        <w:rPr>
          <w:rFonts w:hint="eastAsia" w:eastAsia="仿宋_GB2312"/>
          <w:b/>
          <w:sz w:val="32"/>
          <w:szCs w:val="32"/>
        </w:rPr>
        <w:t>。</w:t>
      </w:r>
    </w:p>
    <w:p w14:paraId="1871FAC0">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仿宋_GB2312"/>
          <w:b/>
          <w:sz w:val="32"/>
          <w:szCs w:val="32"/>
        </w:rPr>
      </w:pPr>
      <w:r>
        <w:rPr>
          <w:rFonts w:hint="eastAsia" w:eastAsia="仿宋_GB2312"/>
          <w:b/>
          <w:sz w:val="32"/>
          <w:szCs w:val="32"/>
        </w:rPr>
        <w:t>（</w:t>
      </w:r>
      <w:r>
        <w:rPr>
          <w:rFonts w:eastAsia="仿宋_GB2312"/>
          <w:b/>
          <w:sz w:val="32"/>
          <w:szCs w:val="32"/>
        </w:rPr>
        <w:t>3</w:t>
      </w:r>
      <w:r>
        <w:rPr>
          <w:rFonts w:hint="eastAsia" w:eastAsia="仿宋_GB2312"/>
          <w:b/>
          <w:sz w:val="32"/>
          <w:szCs w:val="32"/>
        </w:rPr>
        <w:t>）建筑密度：</w:t>
      </w:r>
      <w:r>
        <w:rPr>
          <w:rFonts w:hint="eastAsia" w:eastAsia="仿宋_GB2312"/>
          <w:b/>
          <w:sz w:val="32"/>
          <w:szCs w:val="32"/>
          <w:lang w:eastAsia="zh-CN"/>
        </w:rPr>
        <w:t>不小于</w:t>
      </w:r>
      <w:r>
        <w:rPr>
          <w:rFonts w:hint="eastAsia" w:eastAsia="仿宋_GB2312"/>
          <w:b/>
          <w:sz w:val="32"/>
          <w:szCs w:val="32"/>
          <w:lang w:val="en-US" w:eastAsia="zh-CN"/>
        </w:rPr>
        <w:t>40%不大于60%</w:t>
      </w:r>
      <w:r>
        <w:rPr>
          <w:rFonts w:hint="eastAsia" w:eastAsia="仿宋_GB2312"/>
          <w:b/>
          <w:sz w:val="32"/>
          <w:szCs w:val="32"/>
        </w:rPr>
        <w:t>。</w:t>
      </w:r>
    </w:p>
    <w:p w14:paraId="7D3B5A3D">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eastAsia" w:eastAsia="仿宋_GB2312"/>
          <w:b/>
          <w:sz w:val="32"/>
          <w:szCs w:val="32"/>
        </w:rPr>
      </w:pPr>
      <w:r>
        <w:rPr>
          <w:rFonts w:hint="eastAsia" w:eastAsia="仿宋_GB2312"/>
          <w:b/>
          <w:sz w:val="32"/>
          <w:szCs w:val="32"/>
        </w:rPr>
        <w:t>（</w:t>
      </w:r>
      <w:r>
        <w:rPr>
          <w:rFonts w:hint="eastAsia" w:eastAsia="仿宋_GB2312"/>
          <w:b/>
          <w:sz w:val="32"/>
          <w:szCs w:val="32"/>
          <w:lang w:val="en-US" w:eastAsia="zh-CN"/>
        </w:rPr>
        <w:t>4</w:t>
      </w:r>
      <w:r>
        <w:rPr>
          <w:rFonts w:hint="eastAsia" w:eastAsia="仿宋_GB2312"/>
          <w:b/>
          <w:sz w:val="32"/>
          <w:szCs w:val="32"/>
        </w:rPr>
        <w:t>）绿地率：</w:t>
      </w:r>
      <w:r>
        <w:rPr>
          <w:rFonts w:hint="eastAsia" w:eastAsia="仿宋_GB2312"/>
          <w:b/>
          <w:sz w:val="32"/>
          <w:szCs w:val="32"/>
          <w:lang w:eastAsia="zh-CN"/>
        </w:rPr>
        <w:t>不大于</w:t>
      </w:r>
      <w:r>
        <w:rPr>
          <w:rFonts w:hint="eastAsia" w:eastAsia="仿宋_GB2312"/>
          <w:b/>
          <w:sz w:val="32"/>
          <w:szCs w:val="32"/>
          <w:lang w:val="en-US" w:eastAsia="zh-CN"/>
        </w:rPr>
        <w:t>20</w:t>
      </w:r>
      <w:r>
        <w:rPr>
          <w:rFonts w:eastAsia="仿宋_GB2312"/>
          <w:b/>
          <w:sz w:val="32"/>
          <w:szCs w:val="32"/>
        </w:rPr>
        <w:t>%</w:t>
      </w:r>
      <w:r>
        <w:rPr>
          <w:rFonts w:hint="eastAsia" w:eastAsia="仿宋_GB2312"/>
          <w:b/>
          <w:sz w:val="32"/>
          <w:szCs w:val="32"/>
        </w:rPr>
        <w:t>。</w:t>
      </w:r>
    </w:p>
    <w:p w14:paraId="0D696D9F">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hint="eastAsia" w:eastAsia="仿宋_GB2312"/>
          <w:b/>
          <w:sz w:val="32"/>
          <w:szCs w:val="32"/>
        </w:rPr>
      </w:pPr>
      <w:r>
        <w:rPr>
          <w:rFonts w:hint="eastAsia" w:eastAsia="仿宋_GB2312"/>
          <w:b/>
          <w:sz w:val="32"/>
          <w:szCs w:val="32"/>
        </w:rPr>
        <w:t>（</w:t>
      </w:r>
      <w:r>
        <w:rPr>
          <w:rFonts w:hint="eastAsia" w:eastAsia="仿宋_GB2312"/>
          <w:b/>
          <w:sz w:val="32"/>
          <w:szCs w:val="32"/>
          <w:lang w:val="en-US" w:eastAsia="zh-CN"/>
        </w:rPr>
        <w:t>5</w:t>
      </w:r>
      <w:r>
        <w:rPr>
          <w:rFonts w:hint="eastAsia" w:eastAsia="仿宋_GB2312"/>
          <w:b/>
          <w:sz w:val="32"/>
          <w:szCs w:val="32"/>
        </w:rPr>
        <w:t>）</w:t>
      </w:r>
      <w:r>
        <w:rPr>
          <w:rFonts w:hint="eastAsia" w:eastAsia="仿宋_GB2312"/>
          <w:b/>
          <w:sz w:val="32"/>
          <w:szCs w:val="32"/>
          <w:lang w:eastAsia="zh-CN"/>
        </w:rPr>
        <w:t>建筑控制高度：不高于</w:t>
      </w:r>
      <w:r>
        <w:rPr>
          <w:rFonts w:hint="eastAsia" w:eastAsia="仿宋_GB2312"/>
          <w:b/>
          <w:sz w:val="32"/>
          <w:szCs w:val="32"/>
          <w:lang w:val="en-US" w:eastAsia="zh-CN"/>
        </w:rPr>
        <w:t>24米</w:t>
      </w:r>
      <w:r>
        <w:rPr>
          <w:rFonts w:hint="eastAsia" w:eastAsia="仿宋_GB2312"/>
          <w:b/>
          <w:sz w:val="32"/>
          <w:szCs w:val="32"/>
          <w:lang w:eastAsia="zh-CN"/>
        </w:rPr>
        <w:t>。</w:t>
      </w:r>
    </w:p>
    <w:p w14:paraId="126A6F7F">
      <w:pPr>
        <w:keepNext w:val="0"/>
        <w:keepLines w:val="0"/>
        <w:pageBreakBefore w:val="0"/>
        <w:widowControl w:val="0"/>
        <w:kinsoku/>
        <w:wordWrap/>
        <w:overflowPunct/>
        <w:topLinePunct w:val="0"/>
        <w:autoSpaceDE/>
        <w:autoSpaceDN/>
        <w:bidi w:val="0"/>
        <w:adjustRightInd/>
        <w:snapToGrid/>
        <w:spacing w:line="600" w:lineRule="exact"/>
        <w:ind w:left="-2" w:leftChars="-1" w:firstLine="643" w:firstLineChars="200"/>
        <w:textAlignment w:val="auto"/>
        <w:rPr>
          <w:rFonts w:hint="eastAsia" w:eastAsia="仿宋_GB2312"/>
          <w:b/>
          <w:sz w:val="32"/>
          <w:szCs w:val="32"/>
          <w:lang w:eastAsia="zh-CN"/>
        </w:rPr>
      </w:pPr>
      <w:r>
        <w:rPr>
          <w:rFonts w:hint="eastAsia" w:eastAsia="仿宋_GB2312"/>
          <w:b/>
          <w:sz w:val="32"/>
          <w:szCs w:val="32"/>
        </w:rPr>
        <w:t>具体规划要求详</w:t>
      </w:r>
      <w:r>
        <w:rPr>
          <w:rFonts w:hint="eastAsia" w:eastAsia="仿宋_GB2312"/>
          <w:b/>
          <w:sz w:val="32"/>
          <w:szCs w:val="32"/>
          <w:lang w:eastAsia="zh-CN"/>
        </w:rPr>
        <w:t>见：乐山市市中区自然资源局《关于乐山市市中区</w:t>
      </w:r>
      <w:r>
        <w:rPr>
          <w:rFonts w:hint="eastAsia" w:eastAsia="仿宋_GB2312"/>
          <w:b/>
          <w:sz w:val="32"/>
          <w:szCs w:val="32"/>
          <w:lang w:val="en-US" w:eastAsia="zh-CN"/>
        </w:rPr>
        <w:t>全福街道台子村3组1宗国有建设用地的规划条件</w:t>
      </w:r>
      <w:r>
        <w:rPr>
          <w:rFonts w:hint="eastAsia" w:eastAsia="仿宋_GB2312"/>
          <w:b/>
          <w:sz w:val="32"/>
          <w:szCs w:val="32"/>
          <w:lang w:eastAsia="zh-CN"/>
        </w:rPr>
        <w:t>》乐中自然资规条〔20</w:t>
      </w:r>
      <w:r>
        <w:rPr>
          <w:rFonts w:hint="eastAsia" w:eastAsia="仿宋_GB2312"/>
          <w:b/>
          <w:sz w:val="32"/>
          <w:szCs w:val="32"/>
          <w:lang w:val="en-US" w:eastAsia="zh-CN"/>
        </w:rPr>
        <w:t>24</w:t>
      </w:r>
      <w:r>
        <w:rPr>
          <w:rFonts w:hint="eastAsia" w:eastAsia="仿宋_GB2312"/>
          <w:b/>
          <w:sz w:val="32"/>
          <w:szCs w:val="32"/>
          <w:lang w:eastAsia="zh-CN"/>
        </w:rPr>
        <w:t>〕</w:t>
      </w:r>
      <w:r>
        <w:rPr>
          <w:rFonts w:hint="eastAsia" w:eastAsia="仿宋_GB2312"/>
          <w:b/>
          <w:sz w:val="32"/>
          <w:szCs w:val="32"/>
          <w:lang w:val="en-US" w:eastAsia="zh-CN"/>
        </w:rPr>
        <w:t>2</w:t>
      </w:r>
      <w:r>
        <w:rPr>
          <w:rFonts w:hint="eastAsia" w:eastAsia="仿宋_GB2312"/>
          <w:b/>
          <w:sz w:val="32"/>
          <w:szCs w:val="32"/>
          <w:lang w:eastAsia="zh-CN"/>
        </w:rPr>
        <w:t>号。</w:t>
      </w:r>
    </w:p>
    <w:p w14:paraId="7ED2B955">
      <w:pPr>
        <w:keepNext w:val="0"/>
        <w:keepLines w:val="0"/>
        <w:pageBreakBefore w:val="0"/>
        <w:numPr>
          <w:ilvl w:val="0"/>
          <w:numId w:val="2"/>
        </w:numPr>
        <w:kinsoku/>
        <w:wordWrap/>
        <w:overflowPunct/>
        <w:topLinePunct w:val="0"/>
        <w:autoSpaceDE/>
        <w:autoSpaceDN/>
        <w:bidi w:val="0"/>
        <w:snapToGrid/>
        <w:spacing w:line="520" w:lineRule="exact"/>
        <w:ind w:left="-2" w:leftChars="-1" w:firstLine="803" w:firstLineChars="250"/>
        <w:textAlignment w:val="auto"/>
        <w:rPr>
          <w:rFonts w:hint="eastAsia" w:eastAsia="仿宋_GB2312"/>
          <w:b/>
          <w:sz w:val="32"/>
          <w:szCs w:val="32"/>
        </w:rPr>
      </w:pPr>
      <w:r>
        <w:rPr>
          <w:rFonts w:hint="eastAsia" w:eastAsia="仿宋_GB2312"/>
          <w:b/>
          <w:sz w:val="32"/>
          <w:szCs w:val="32"/>
        </w:rPr>
        <w:t>产业准入条件：该宗国有建设用地用于建设的项目必须符合执行国家的产业政策《产业结构调整指导目录（</w:t>
      </w:r>
      <w:r>
        <w:rPr>
          <w:rFonts w:eastAsia="仿宋_GB2312"/>
          <w:b/>
          <w:sz w:val="32"/>
          <w:szCs w:val="32"/>
        </w:rPr>
        <w:t>20</w:t>
      </w:r>
      <w:r>
        <w:rPr>
          <w:rFonts w:hint="eastAsia" w:eastAsia="仿宋_GB2312"/>
          <w:b/>
          <w:sz w:val="32"/>
          <w:szCs w:val="32"/>
          <w:lang w:val="en-US" w:eastAsia="zh-CN"/>
        </w:rPr>
        <w:t>24</w:t>
      </w:r>
      <w:r>
        <w:rPr>
          <w:rFonts w:hint="eastAsia" w:eastAsia="仿宋_GB2312"/>
          <w:b/>
          <w:sz w:val="32"/>
          <w:szCs w:val="32"/>
        </w:rPr>
        <w:t>年</w:t>
      </w:r>
      <w:r>
        <w:rPr>
          <w:rFonts w:hint="eastAsia" w:eastAsia="仿宋_GB2312"/>
          <w:b/>
          <w:sz w:val="32"/>
          <w:szCs w:val="32"/>
          <w:lang w:eastAsia="zh-CN"/>
        </w:rPr>
        <w:t>本</w:t>
      </w:r>
      <w:r>
        <w:rPr>
          <w:rFonts w:hint="eastAsia" w:eastAsia="仿宋_GB2312"/>
          <w:b/>
          <w:sz w:val="32"/>
          <w:szCs w:val="32"/>
        </w:rPr>
        <w:t>）》，项目建设应取得地方投资主管部门的批准（备案或核准）。</w:t>
      </w:r>
    </w:p>
    <w:p w14:paraId="18609CB0">
      <w:pPr>
        <w:keepNext w:val="0"/>
        <w:keepLines w:val="0"/>
        <w:pageBreakBefore w:val="0"/>
        <w:numPr>
          <w:ilvl w:val="0"/>
          <w:numId w:val="2"/>
        </w:numPr>
        <w:kinsoku/>
        <w:wordWrap/>
        <w:overflowPunct/>
        <w:topLinePunct w:val="0"/>
        <w:autoSpaceDE/>
        <w:autoSpaceDN/>
        <w:bidi w:val="0"/>
        <w:snapToGrid/>
        <w:spacing w:line="520" w:lineRule="exact"/>
        <w:ind w:left="-2" w:leftChars="-1" w:firstLine="803" w:firstLineChars="250"/>
        <w:textAlignment w:val="auto"/>
        <w:rPr>
          <w:rFonts w:hint="eastAsia" w:eastAsia="仿宋_GB2312"/>
          <w:b/>
          <w:sz w:val="32"/>
          <w:szCs w:val="32"/>
        </w:rPr>
      </w:pPr>
      <w:r>
        <w:rPr>
          <w:rFonts w:hint="eastAsia" w:eastAsia="仿宋_GB2312"/>
          <w:b/>
          <w:sz w:val="32"/>
          <w:szCs w:val="32"/>
          <w:lang w:eastAsia="zh-CN"/>
        </w:rPr>
        <w:t>产业类型：装卸搬运和仓储业</w:t>
      </w:r>
    </w:p>
    <w:p w14:paraId="060D3BF4">
      <w:pPr>
        <w:keepNext w:val="0"/>
        <w:keepLines w:val="0"/>
        <w:pageBreakBefore w:val="0"/>
        <w:numPr>
          <w:ilvl w:val="0"/>
          <w:numId w:val="2"/>
        </w:numPr>
        <w:kinsoku/>
        <w:wordWrap/>
        <w:overflowPunct/>
        <w:topLinePunct w:val="0"/>
        <w:autoSpaceDE/>
        <w:autoSpaceDN/>
        <w:bidi w:val="0"/>
        <w:snapToGrid/>
        <w:spacing w:line="520" w:lineRule="exact"/>
        <w:ind w:left="-2" w:leftChars="-1" w:firstLine="803" w:firstLineChars="250"/>
        <w:textAlignment w:val="auto"/>
        <w:rPr>
          <w:rFonts w:eastAsia="仿宋_GB2312"/>
          <w:b/>
          <w:sz w:val="32"/>
          <w:szCs w:val="32"/>
        </w:rPr>
      </w:pPr>
      <w:r>
        <w:rPr>
          <w:rFonts w:hint="eastAsia" w:eastAsia="仿宋_GB2312"/>
          <w:b/>
          <w:sz w:val="32"/>
          <w:szCs w:val="32"/>
        </w:rPr>
        <w:t>环境保护要求：拟建项目</w:t>
      </w:r>
      <w:r>
        <w:rPr>
          <w:rFonts w:hint="eastAsia" w:eastAsia="仿宋_GB2312"/>
          <w:b/>
          <w:sz w:val="32"/>
          <w:szCs w:val="32"/>
          <w:lang w:eastAsia="zh-CN"/>
        </w:rPr>
        <w:t>严格按照</w:t>
      </w:r>
      <w:bookmarkStart w:id="0" w:name="_GoBack"/>
      <w:r>
        <w:rPr>
          <w:rFonts w:hint="eastAsia" w:eastAsia="仿宋_GB2312"/>
          <w:b/>
          <w:color w:val="auto"/>
          <w:sz w:val="32"/>
          <w:szCs w:val="32"/>
          <w:lang w:eastAsia="zh-CN"/>
        </w:rPr>
        <w:t>《建设项目环境影响评价分类管理名录（</w:t>
      </w:r>
      <w:r>
        <w:rPr>
          <w:rFonts w:hint="eastAsia" w:eastAsia="仿宋_GB2312"/>
          <w:b/>
          <w:color w:val="auto"/>
          <w:sz w:val="32"/>
          <w:szCs w:val="32"/>
          <w:lang w:val="en-US" w:eastAsia="zh-CN"/>
        </w:rPr>
        <w:t>2021年版</w:t>
      </w:r>
      <w:r>
        <w:rPr>
          <w:rFonts w:hint="eastAsia" w:eastAsia="仿宋_GB2312"/>
          <w:b/>
          <w:color w:val="auto"/>
          <w:sz w:val="32"/>
          <w:szCs w:val="32"/>
          <w:lang w:eastAsia="zh-CN"/>
        </w:rPr>
        <w:t>）》</w:t>
      </w:r>
      <w:bookmarkEnd w:id="0"/>
      <w:r>
        <w:rPr>
          <w:rFonts w:hint="eastAsia" w:eastAsia="仿宋_GB2312"/>
          <w:b/>
          <w:sz w:val="32"/>
          <w:szCs w:val="32"/>
          <w:lang w:eastAsia="zh-CN"/>
        </w:rPr>
        <w:t>相关要求，在开工建设前完善相关环评手续</w:t>
      </w:r>
      <w:r>
        <w:rPr>
          <w:rFonts w:hint="eastAsia" w:eastAsia="仿宋_GB2312"/>
          <w:b/>
          <w:sz w:val="32"/>
          <w:szCs w:val="32"/>
        </w:rPr>
        <w:t>。</w:t>
      </w:r>
    </w:p>
    <w:p w14:paraId="709A5FCC">
      <w:pPr>
        <w:keepNext w:val="0"/>
        <w:keepLines w:val="0"/>
        <w:pageBreakBefore w:val="0"/>
        <w:numPr>
          <w:ilvl w:val="0"/>
          <w:numId w:val="2"/>
        </w:numPr>
        <w:kinsoku/>
        <w:wordWrap/>
        <w:overflowPunct/>
        <w:topLinePunct w:val="0"/>
        <w:autoSpaceDE/>
        <w:autoSpaceDN/>
        <w:bidi w:val="0"/>
        <w:snapToGrid/>
        <w:spacing w:line="520" w:lineRule="exact"/>
        <w:ind w:left="-2" w:leftChars="-1" w:firstLine="803" w:firstLineChars="250"/>
        <w:textAlignment w:val="auto"/>
        <w:rPr>
          <w:rFonts w:eastAsia="仿宋_GB2312"/>
          <w:b/>
          <w:sz w:val="32"/>
          <w:szCs w:val="32"/>
        </w:rPr>
      </w:pPr>
      <w:r>
        <w:rPr>
          <w:rFonts w:hint="eastAsia" w:eastAsia="仿宋_GB2312"/>
          <w:b/>
          <w:sz w:val="32"/>
          <w:szCs w:val="32"/>
        </w:rPr>
        <w:t>其他要求</w:t>
      </w:r>
      <w:r>
        <w:rPr>
          <w:rFonts w:hint="eastAsia" w:eastAsia="仿宋_GB2312"/>
          <w:b/>
          <w:sz w:val="32"/>
          <w:szCs w:val="32"/>
          <w:lang w:eastAsia="zh-CN"/>
        </w:rPr>
        <w:t>：</w:t>
      </w:r>
      <w:r>
        <w:rPr>
          <w:rFonts w:hint="eastAsia" w:eastAsia="仿宋_GB2312"/>
          <w:b/>
          <w:sz w:val="32"/>
          <w:szCs w:val="32"/>
        </w:rPr>
        <w:t>竞得人在开工建设前应开展建设用地地质灾害危险性评估工作。</w:t>
      </w:r>
    </w:p>
    <w:p w14:paraId="1DDFA607">
      <w:pPr>
        <w:keepNext w:val="0"/>
        <w:keepLines w:val="0"/>
        <w:pageBreakBefore w:val="0"/>
        <w:kinsoku/>
        <w:wordWrap/>
        <w:overflowPunct/>
        <w:topLinePunct w:val="0"/>
        <w:autoSpaceDE/>
        <w:autoSpaceDN/>
        <w:bidi w:val="0"/>
        <w:snapToGrid/>
        <w:spacing w:line="520" w:lineRule="exact"/>
        <w:ind w:firstLine="964" w:firstLineChars="300"/>
        <w:textAlignment w:val="auto"/>
        <w:rPr>
          <w:rFonts w:eastAsia="楷体_GB2312"/>
          <w:b/>
          <w:sz w:val="32"/>
          <w:szCs w:val="32"/>
        </w:rPr>
      </w:pPr>
      <w:r>
        <w:rPr>
          <w:rFonts w:hint="eastAsia" w:eastAsia="楷体_GB2312"/>
          <w:b/>
          <w:sz w:val="32"/>
          <w:szCs w:val="32"/>
          <w:lang w:val="en-US" w:eastAsia="zh-CN"/>
        </w:rPr>
        <w:t>6</w:t>
      </w:r>
      <w:r>
        <w:rPr>
          <w:rFonts w:hint="eastAsia" w:eastAsia="楷体_GB2312"/>
          <w:b/>
          <w:sz w:val="32"/>
          <w:szCs w:val="32"/>
        </w:rPr>
        <w:t>．开、竣工时间：</w:t>
      </w:r>
    </w:p>
    <w:p w14:paraId="1FE9F830">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hint="eastAsia" w:eastAsia="楷体_GB2312"/>
          <w:b/>
          <w:sz w:val="32"/>
          <w:szCs w:val="32"/>
        </w:rPr>
        <w:t>开工时间：土地交付之日起</w:t>
      </w:r>
      <w:r>
        <w:rPr>
          <w:rFonts w:eastAsia="楷体_GB2312"/>
          <w:b/>
          <w:sz w:val="32"/>
          <w:szCs w:val="32"/>
        </w:rPr>
        <w:t>12</w:t>
      </w:r>
      <w:r>
        <w:rPr>
          <w:rFonts w:hint="eastAsia" w:eastAsia="楷体_GB2312"/>
          <w:b/>
          <w:sz w:val="32"/>
          <w:szCs w:val="32"/>
        </w:rPr>
        <w:t>个月内开工。</w:t>
      </w:r>
      <w:r>
        <w:rPr>
          <w:rFonts w:eastAsia="楷体_GB2312"/>
          <w:b/>
          <w:sz w:val="32"/>
          <w:szCs w:val="32"/>
        </w:rPr>
        <w:t xml:space="preserve"> </w:t>
      </w:r>
    </w:p>
    <w:p w14:paraId="442F1FE6">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hint="eastAsia" w:eastAsia="楷体_GB2312"/>
          <w:b/>
          <w:sz w:val="32"/>
          <w:szCs w:val="32"/>
        </w:rPr>
        <w:t>竣工时间：自开工之日起</w:t>
      </w:r>
      <w:r>
        <w:rPr>
          <w:rFonts w:eastAsia="楷体_GB2312"/>
          <w:b/>
          <w:sz w:val="32"/>
          <w:szCs w:val="32"/>
        </w:rPr>
        <w:t>24</w:t>
      </w:r>
      <w:r>
        <w:rPr>
          <w:rFonts w:hint="eastAsia" w:eastAsia="楷体_GB2312"/>
          <w:b/>
          <w:sz w:val="32"/>
          <w:szCs w:val="32"/>
        </w:rPr>
        <w:t>个月内竣工。</w:t>
      </w:r>
    </w:p>
    <w:p w14:paraId="53B6F74E">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黑体"/>
          <w:bCs/>
          <w:sz w:val="32"/>
          <w:szCs w:val="32"/>
        </w:rPr>
      </w:pPr>
      <w:r>
        <w:rPr>
          <w:rFonts w:eastAsia="黑体"/>
          <w:bCs/>
          <w:sz w:val="32"/>
          <w:szCs w:val="32"/>
        </w:rPr>
        <w:t>八、竞买资格要求</w:t>
      </w:r>
    </w:p>
    <w:p w14:paraId="1205FC72">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仿宋_GB2312"/>
          <w:b/>
          <w:sz w:val="32"/>
          <w:szCs w:val="32"/>
        </w:rPr>
      </w:pPr>
      <w:r>
        <w:rPr>
          <w:rFonts w:eastAsia="仿宋_GB2312"/>
          <w:b/>
          <w:sz w:val="32"/>
          <w:szCs w:val="32"/>
        </w:rPr>
        <w:t>中华人民共和国境内外的自然人、法人和其他组织均可申请参加竞买，申请人可独立竞买也可联合竞买，但挂牌文件中有特殊要求或法律法规对申请人另有限制的除外。</w:t>
      </w:r>
    </w:p>
    <w:p w14:paraId="0FFFA67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九、竞买报名申请及资格审查</w:t>
      </w:r>
    </w:p>
    <w:p w14:paraId="6A63067A">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eastAsia="楷体_GB2312"/>
          <w:b/>
          <w:sz w:val="32"/>
          <w:szCs w:val="32"/>
        </w:rPr>
        <w:t>（一）竞买保证金</w:t>
      </w:r>
    </w:p>
    <w:p w14:paraId="10386CFC">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仿宋_GB2312"/>
          <w:b/>
          <w:sz w:val="32"/>
          <w:szCs w:val="32"/>
        </w:rPr>
      </w:pPr>
      <w:r>
        <w:rPr>
          <w:rFonts w:eastAsia="仿宋_GB2312"/>
          <w:b/>
          <w:sz w:val="32"/>
          <w:szCs w:val="32"/>
        </w:rPr>
        <w:t>本宗国有建设用地使用权挂牌出让的竞买保证金为</w:t>
      </w:r>
      <w:r>
        <w:rPr>
          <w:rFonts w:hint="eastAsia" w:eastAsia="仿宋_GB2312"/>
          <w:b/>
          <w:sz w:val="32"/>
          <w:szCs w:val="32"/>
          <w:lang w:val="en-US" w:eastAsia="zh-CN"/>
        </w:rPr>
        <w:t>174</w:t>
      </w:r>
      <w:r>
        <w:rPr>
          <w:rFonts w:eastAsia="仿宋_GB2312"/>
          <w:b/>
          <w:sz w:val="32"/>
          <w:szCs w:val="32"/>
        </w:rPr>
        <w:t>万元（人民币）。</w:t>
      </w:r>
    </w:p>
    <w:p w14:paraId="0690CD87">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eastAsia="楷体_GB2312"/>
          <w:b/>
          <w:sz w:val="32"/>
          <w:szCs w:val="32"/>
        </w:rPr>
        <w:t>（二）报名方式及截止时间</w:t>
      </w:r>
    </w:p>
    <w:p w14:paraId="76A43C79">
      <w:pPr>
        <w:keepNext w:val="0"/>
        <w:keepLines w:val="0"/>
        <w:pageBreakBefore w:val="0"/>
        <w:kinsoku/>
        <w:wordWrap/>
        <w:overflowPunct/>
        <w:topLinePunct w:val="0"/>
        <w:autoSpaceDE/>
        <w:autoSpaceDN/>
        <w:bidi w:val="0"/>
        <w:snapToGrid/>
        <w:spacing w:line="560" w:lineRule="exact"/>
        <w:ind w:left="-2" w:leftChars="-1" w:firstLine="643"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
          <w:bCs/>
          <w:color w:val="auto"/>
          <w:sz w:val="32"/>
          <w:szCs w:val="32"/>
        </w:rPr>
        <w:t>本宗国有建设用地使用权出让实行网上报名</w:t>
      </w:r>
      <w:r>
        <w:rPr>
          <w:rFonts w:hint="default" w:ascii="Times New Roman" w:hAnsi="Times New Roman" w:eastAsia="仿宋_GB2312" w:cs="Times New Roman"/>
          <w:bCs/>
          <w:color w:val="auto"/>
          <w:sz w:val="32"/>
          <w:szCs w:val="32"/>
        </w:rPr>
        <w:t>，竞买申请人须通过乐山市公共资源交易服务中心门户网站（http://lsggzy.com.cn）进入“</w:t>
      </w:r>
      <w:r>
        <w:rPr>
          <w:rFonts w:hint="default" w:ascii="Times New Roman" w:hAnsi="Times New Roman" w:eastAsia="仿宋_GB2312" w:cs="Times New Roman"/>
          <w:bCs/>
          <w:color w:val="auto"/>
          <w:sz w:val="32"/>
          <w:szCs w:val="32"/>
          <w:lang w:eastAsia="zh-CN"/>
        </w:rPr>
        <w:t>用户登录入口</w:t>
      </w:r>
      <w:r>
        <w:rPr>
          <w:rFonts w:hint="default" w:ascii="Times New Roman" w:hAnsi="Times New Roman" w:eastAsia="仿宋_GB2312" w:cs="Times New Roman"/>
          <w:bCs/>
          <w:color w:val="auto"/>
          <w:sz w:val="32"/>
          <w:szCs w:val="32"/>
        </w:rPr>
        <w:t>”页面完成报名注册。</w:t>
      </w:r>
    </w:p>
    <w:p w14:paraId="39A4A6C6">
      <w:pPr>
        <w:keepNext w:val="0"/>
        <w:keepLines w:val="0"/>
        <w:pageBreakBefore w:val="0"/>
        <w:kinsoku/>
        <w:wordWrap/>
        <w:overflowPunct/>
        <w:topLinePunct w:val="0"/>
        <w:autoSpaceDE/>
        <w:autoSpaceDN/>
        <w:bidi w:val="0"/>
        <w:snapToGrid/>
        <w:spacing w:line="540" w:lineRule="exact"/>
        <w:ind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color w:val="auto"/>
          <w:sz w:val="32"/>
          <w:szCs w:val="32"/>
          <w:highlight w:val="none"/>
        </w:rPr>
        <w:t>已完成网上报名注册的竞买申请人</w:t>
      </w:r>
      <w:r>
        <w:rPr>
          <w:rFonts w:hint="default" w:ascii="Times New Roman" w:hAnsi="Times New Roman" w:eastAsia="仿宋_GB2312" w:cs="Times New Roman"/>
          <w:bCs/>
          <w:sz w:val="32"/>
          <w:szCs w:val="32"/>
          <w:highlight w:val="none"/>
        </w:rPr>
        <w:t>须在</w:t>
      </w:r>
      <w:r>
        <w:rPr>
          <w:rFonts w:hint="default" w:ascii="Times New Roman" w:hAnsi="Times New Roman" w:eastAsia="仿宋_GB2312" w:cs="Times New Roman"/>
          <w:b/>
          <w:color w:val="000000" w:themeColor="text1"/>
          <w:sz w:val="32"/>
          <w:szCs w:val="32"/>
          <w:highlight w:val="none"/>
          <w:u w:val="none"/>
          <w:lang w:val="en-US" w:eastAsia="zh-CN"/>
        </w:rPr>
        <w:t>202</w:t>
      </w:r>
      <w:r>
        <w:rPr>
          <w:rFonts w:hint="eastAsia" w:eastAsia="仿宋_GB2312" w:cs="Times New Roman"/>
          <w:b/>
          <w:color w:val="000000" w:themeColor="text1"/>
          <w:sz w:val="32"/>
          <w:szCs w:val="32"/>
          <w:highlight w:val="none"/>
          <w:u w:val="none"/>
          <w:lang w:val="en-US" w:eastAsia="zh-CN"/>
        </w:rPr>
        <w:t>4</w:t>
      </w:r>
      <w:r>
        <w:rPr>
          <w:rFonts w:hint="default" w:ascii="Times New Roman" w:hAnsi="Times New Roman" w:eastAsia="仿宋_GB2312" w:cs="Times New Roman"/>
          <w:b/>
          <w:color w:val="000000" w:themeColor="text1"/>
          <w:sz w:val="32"/>
          <w:szCs w:val="32"/>
          <w:highlight w:val="none"/>
        </w:rPr>
        <w:t>年</w:t>
      </w:r>
      <w:r>
        <w:rPr>
          <w:rFonts w:hint="eastAsia" w:eastAsia="仿宋_GB2312" w:cs="Times New Roman"/>
          <w:b/>
          <w:color w:val="000000" w:themeColor="text1"/>
          <w:sz w:val="32"/>
          <w:szCs w:val="32"/>
          <w:highlight w:val="none"/>
          <w:lang w:val="en-US" w:eastAsia="zh-CN"/>
        </w:rPr>
        <w:t>10</w:t>
      </w:r>
      <w:r>
        <w:rPr>
          <w:rFonts w:hint="default" w:ascii="Times New Roman" w:hAnsi="Times New Roman" w:eastAsia="仿宋_GB2312" w:cs="Times New Roman"/>
          <w:b/>
          <w:color w:val="000000" w:themeColor="text1"/>
          <w:sz w:val="32"/>
          <w:szCs w:val="32"/>
          <w:highlight w:val="none"/>
        </w:rPr>
        <w:t>月</w:t>
      </w:r>
      <w:r>
        <w:rPr>
          <w:rFonts w:hint="eastAsia" w:eastAsia="仿宋_GB2312" w:cs="Times New Roman"/>
          <w:b/>
          <w:color w:val="000000" w:themeColor="text1"/>
          <w:sz w:val="32"/>
          <w:szCs w:val="32"/>
          <w:highlight w:val="none"/>
          <w:lang w:val="en-US" w:eastAsia="zh-CN"/>
        </w:rPr>
        <w:t>14</w:t>
      </w:r>
      <w:r>
        <w:rPr>
          <w:rFonts w:hint="default" w:ascii="Times New Roman" w:hAnsi="Times New Roman" w:eastAsia="仿宋_GB2312" w:cs="Times New Roman"/>
          <w:b/>
          <w:color w:val="000000" w:themeColor="text1"/>
          <w:sz w:val="32"/>
          <w:szCs w:val="32"/>
          <w:highlight w:val="none"/>
        </w:rPr>
        <w:t>日1</w:t>
      </w:r>
      <w:r>
        <w:rPr>
          <w:rFonts w:hint="default" w:ascii="Times New Roman" w:hAnsi="Times New Roman" w:eastAsia="仿宋_GB2312" w:cs="Times New Roman"/>
          <w:b/>
          <w:color w:val="000000" w:themeColor="text1"/>
          <w:sz w:val="32"/>
          <w:szCs w:val="32"/>
          <w:highlight w:val="none"/>
          <w:lang w:val="en-US" w:eastAsia="zh-CN"/>
        </w:rPr>
        <w:t>7</w:t>
      </w:r>
      <w:r>
        <w:rPr>
          <w:rFonts w:hint="default" w:ascii="Times New Roman" w:hAnsi="Times New Roman" w:eastAsia="仿宋_GB2312" w:cs="Times New Roman"/>
          <w:b/>
          <w:color w:val="000000" w:themeColor="text1"/>
          <w:sz w:val="32"/>
          <w:szCs w:val="32"/>
          <w:highlight w:val="none"/>
        </w:rPr>
        <w:t>:00前</w:t>
      </w:r>
      <w:r>
        <w:rPr>
          <w:rFonts w:hint="default" w:ascii="Times New Roman" w:hAnsi="Times New Roman" w:eastAsia="仿宋_GB2312" w:cs="Times New Roman"/>
          <w:bCs/>
          <w:color w:val="000000" w:themeColor="text1"/>
          <w:sz w:val="32"/>
          <w:szCs w:val="32"/>
          <w:highlight w:val="none"/>
        </w:rPr>
        <w:t>将竞买保证金足额缴入乐山市公共资源交易</w:t>
      </w:r>
      <w:r>
        <w:rPr>
          <w:rFonts w:hint="default" w:ascii="Times New Roman" w:hAnsi="Times New Roman" w:eastAsia="仿宋_GB2312" w:cs="Times New Roman"/>
          <w:bCs/>
          <w:sz w:val="32"/>
          <w:szCs w:val="32"/>
          <w:highlight w:val="none"/>
        </w:rPr>
        <w:t>服务中心保证金账户，完成网上报名手续。</w:t>
      </w:r>
    </w:p>
    <w:p w14:paraId="4F392C70">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仿宋_GB2312"/>
          <w:b/>
          <w:sz w:val="32"/>
          <w:szCs w:val="32"/>
        </w:rPr>
      </w:pPr>
      <w:r>
        <w:rPr>
          <w:rFonts w:eastAsia="仿宋_GB2312"/>
          <w:b/>
          <w:sz w:val="32"/>
          <w:szCs w:val="32"/>
        </w:rPr>
        <w:t>竞买保证金以到账为准，竞买申请人应尽量避免在缴纳竞买保证金截止日汇入资金，充分考虑资金在途时间，以免贻误报名。因保证金贻误到账，造成竞买申请人不能正常报名的，由竞买申请人自行负责。</w:t>
      </w:r>
    </w:p>
    <w:p w14:paraId="60088E88">
      <w:pPr>
        <w:keepNext w:val="0"/>
        <w:keepLines w:val="0"/>
        <w:pageBreakBefore w:val="0"/>
        <w:kinsoku/>
        <w:wordWrap/>
        <w:overflowPunct/>
        <w:topLinePunct w:val="0"/>
        <w:autoSpaceDE/>
        <w:autoSpaceDN/>
        <w:bidi w:val="0"/>
        <w:snapToGrid/>
        <w:spacing w:line="520" w:lineRule="exact"/>
        <w:ind w:left="-2" w:leftChars="-1" w:firstLine="643" w:firstLineChars="200"/>
        <w:textAlignment w:val="auto"/>
        <w:rPr>
          <w:rFonts w:eastAsia="楷体_GB2312"/>
          <w:b/>
          <w:sz w:val="32"/>
          <w:szCs w:val="32"/>
        </w:rPr>
      </w:pPr>
      <w:r>
        <w:rPr>
          <w:rFonts w:eastAsia="楷体_GB2312"/>
          <w:b/>
          <w:sz w:val="32"/>
          <w:szCs w:val="32"/>
        </w:rPr>
        <w:t>（三）提交申请文件</w:t>
      </w:r>
    </w:p>
    <w:p w14:paraId="02A4E2E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竞买申请人须在</w:t>
      </w:r>
      <w:r>
        <w:rPr>
          <w:rFonts w:eastAsia="仿宋_GB2312"/>
          <w:b/>
          <w:sz w:val="32"/>
          <w:szCs w:val="32"/>
        </w:rPr>
        <w:t>20</w:t>
      </w:r>
      <w:r>
        <w:rPr>
          <w:rFonts w:hint="eastAsia" w:eastAsia="仿宋_GB2312"/>
          <w:b/>
          <w:sz w:val="32"/>
          <w:szCs w:val="32"/>
        </w:rPr>
        <w:t>2</w:t>
      </w:r>
      <w:r>
        <w:rPr>
          <w:rFonts w:hint="eastAsia" w:eastAsia="仿宋_GB2312"/>
          <w:b/>
          <w:sz w:val="32"/>
          <w:szCs w:val="32"/>
          <w:lang w:val="en-US" w:eastAsia="zh-CN"/>
        </w:rPr>
        <w:t>4</w:t>
      </w:r>
      <w:r>
        <w:rPr>
          <w:rFonts w:eastAsia="仿宋_GB2312"/>
          <w:b/>
          <w:sz w:val="32"/>
          <w:szCs w:val="32"/>
        </w:rPr>
        <w:t>年</w:t>
      </w:r>
      <w:r>
        <w:rPr>
          <w:rFonts w:hint="eastAsia" w:eastAsia="仿宋_GB2312"/>
          <w:b/>
          <w:sz w:val="32"/>
          <w:szCs w:val="32"/>
          <w:lang w:val="en-US" w:eastAsia="zh-CN"/>
        </w:rPr>
        <w:t>10</w:t>
      </w:r>
      <w:r>
        <w:rPr>
          <w:rFonts w:eastAsia="仿宋_GB2312"/>
          <w:b/>
          <w:sz w:val="32"/>
          <w:szCs w:val="32"/>
        </w:rPr>
        <w:t>月</w:t>
      </w:r>
      <w:r>
        <w:rPr>
          <w:rFonts w:hint="eastAsia" w:eastAsia="仿宋_GB2312"/>
          <w:b/>
          <w:sz w:val="32"/>
          <w:szCs w:val="32"/>
          <w:lang w:val="en-US" w:eastAsia="zh-CN"/>
        </w:rPr>
        <w:t>14</w:t>
      </w:r>
      <w:r>
        <w:rPr>
          <w:rFonts w:eastAsia="仿宋_GB2312"/>
          <w:b/>
          <w:sz w:val="32"/>
          <w:szCs w:val="32"/>
        </w:rPr>
        <w:t>日17:00前</w:t>
      </w:r>
      <w:r>
        <w:rPr>
          <w:rFonts w:eastAsia="仿宋_GB2312"/>
          <w:bCs/>
          <w:sz w:val="32"/>
          <w:szCs w:val="32"/>
        </w:rPr>
        <w:t>到乐山市市中区柏杨东路199号三楼报名处提交竞买申请文件。</w:t>
      </w:r>
    </w:p>
    <w:p w14:paraId="249F97AD">
      <w:pPr>
        <w:keepNext w:val="0"/>
        <w:keepLines w:val="0"/>
        <w:pageBreakBefore w:val="0"/>
        <w:kinsoku/>
        <w:wordWrap/>
        <w:overflowPunct/>
        <w:topLinePunct w:val="0"/>
        <w:autoSpaceDE/>
        <w:autoSpaceDN/>
        <w:bidi w:val="0"/>
        <w:snapToGrid/>
        <w:spacing w:line="520" w:lineRule="exact"/>
        <w:ind w:firstLine="800" w:firstLineChars="250"/>
        <w:textAlignment w:val="auto"/>
        <w:rPr>
          <w:rFonts w:eastAsia="仿宋_GB2312"/>
          <w:bCs/>
          <w:sz w:val="32"/>
          <w:szCs w:val="32"/>
        </w:rPr>
      </w:pPr>
      <w:r>
        <w:rPr>
          <w:rFonts w:eastAsia="仿宋_GB2312"/>
          <w:bCs/>
          <w:sz w:val="32"/>
          <w:szCs w:val="32"/>
        </w:rPr>
        <w:t>1．自然人申请的应提交下列文件：</w:t>
      </w:r>
    </w:p>
    <w:p w14:paraId="45618A5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（1）竞买申请书（原件）；</w:t>
      </w:r>
    </w:p>
    <w:p w14:paraId="0843BF7C">
      <w:pPr>
        <w:pStyle w:val="43"/>
        <w:keepNext w:val="0"/>
        <w:keepLines w:val="0"/>
        <w:pageBreakBefore w:val="0"/>
        <w:kinsoku/>
        <w:wordWrap/>
        <w:overflowPunct/>
        <w:topLinePunct w:val="0"/>
        <w:autoSpaceDE/>
        <w:autoSpaceDN/>
        <w:bidi w:val="0"/>
        <w:snapToGrid/>
        <w:spacing w:line="520" w:lineRule="exact"/>
        <w:textAlignment w:val="auto"/>
        <w:rPr>
          <w:rFonts w:ascii="Times New Roman" w:eastAsia="仿宋_GB2312"/>
        </w:rPr>
      </w:pPr>
      <w:r>
        <w:rPr>
          <w:rFonts w:ascii="Times New Roman" w:eastAsia="仿宋_GB2312"/>
          <w:bCs/>
        </w:rPr>
        <w:t xml:space="preserve">    （2）竞买协议（原件）；</w:t>
      </w:r>
    </w:p>
    <w:p w14:paraId="1C3E830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（3）申请人有效身份证明文件复印件；</w:t>
      </w:r>
    </w:p>
    <w:p w14:paraId="32304117">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w:t>
      </w:r>
    </w:p>
    <w:p w14:paraId="2B5331E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（5）竞买保证金缴款凭据复印件。</w:t>
      </w:r>
    </w:p>
    <w:p w14:paraId="356D3544">
      <w:pPr>
        <w:keepNext w:val="0"/>
        <w:keepLines w:val="0"/>
        <w:pageBreakBefore w:val="0"/>
        <w:kinsoku/>
        <w:wordWrap/>
        <w:overflowPunct/>
        <w:topLinePunct w:val="0"/>
        <w:autoSpaceDE/>
        <w:autoSpaceDN/>
        <w:bidi w:val="0"/>
        <w:snapToGrid/>
        <w:spacing w:line="520" w:lineRule="exact"/>
        <w:ind w:firstLine="800" w:firstLineChars="250"/>
        <w:textAlignment w:val="auto"/>
        <w:rPr>
          <w:rFonts w:eastAsia="仿宋_GB2312"/>
          <w:bCs/>
          <w:sz w:val="32"/>
          <w:szCs w:val="32"/>
        </w:rPr>
      </w:pPr>
      <w:r>
        <w:rPr>
          <w:rFonts w:eastAsia="仿宋_GB2312"/>
          <w:bCs/>
          <w:sz w:val="32"/>
          <w:szCs w:val="32"/>
        </w:rPr>
        <w:t>2．法人申请的应提交下列文件：</w:t>
      </w:r>
    </w:p>
    <w:p w14:paraId="3ACD3857">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（1）竞买申请书（原件）；</w:t>
      </w:r>
    </w:p>
    <w:p w14:paraId="68C15A95">
      <w:pPr>
        <w:pStyle w:val="43"/>
        <w:keepNext w:val="0"/>
        <w:keepLines w:val="0"/>
        <w:pageBreakBefore w:val="0"/>
        <w:kinsoku/>
        <w:wordWrap/>
        <w:overflowPunct/>
        <w:topLinePunct w:val="0"/>
        <w:autoSpaceDE/>
        <w:autoSpaceDN/>
        <w:bidi w:val="0"/>
        <w:snapToGrid/>
        <w:spacing w:line="520" w:lineRule="exact"/>
        <w:ind w:firstLine="640" w:firstLineChars="200"/>
        <w:textAlignment w:val="auto"/>
        <w:rPr>
          <w:rFonts w:ascii="Times New Roman"/>
        </w:rPr>
      </w:pPr>
      <w:r>
        <w:rPr>
          <w:rFonts w:ascii="Times New Roman" w:eastAsia="仿宋_GB2312"/>
          <w:bCs/>
        </w:rPr>
        <w:t>（2）竞买协议（原件）；</w:t>
      </w:r>
    </w:p>
    <w:p w14:paraId="48968B8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（3）统一社会信用代码复印件；</w:t>
      </w:r>
    </w:p>
    <w:p w14:paraId="725F566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（4）法定代表人有效身份证明文件复印件；</w:t>
      </w:r>
    </w:p>
    <w:p w14:paraId="799D99A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（5）委托他人代为申请及办理相关手续的，须提交法人授权委托书原件（应当列明具体委托事项、权限等）及代理人的身份证明文件复印件；</w:t>
      </w:r>
    </w:p>
    <w:p w14:paraId="4152712B">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（6）竞买保证金缴款凭据复印件。</w:t>
      </w:r>
    </w:p>
    <w:p w14:paraId="2E4B56B7">
      <w:pPr>
        <w:keepNext w:val="0"/>
        <w:keepLines w:val="0"/>
        <w:pageBreakBefore w:val="0"/>
        <w:kinsoku/>
        <w:wordWrap/>
        <w:overflowPunct/>
        <w:topLinePunct w:val="0"/>
        <w:autoSpaceDE/>
        <w:autoSpaceDN/>
        <w:bidi w:val="0"/>
        <w:snapToGrid/>
        <w:spacing w:line="520" w:lineRule="exact"/>
        <w:ind w:firstLine="800" w:firstLineChars="250"/>
        <w:textAlignment w:val="auto"/>
        <w:rPr>
          <w:rFonts w:eastAsia="仿宋_GB2312"/>
          <w:bCs/>
          <w:sz w:val="32"/>
          <w:szCs w:val="32"/>
        </w:rPr>
      </w:pPr>
      <w:r>
        <w:rPr>
          <w:rFonts w:eastAsia="仿宋_GB2312"/>
          <w:bCs/>
          <w:sz w:val="32"/>
          <w:szCs w:val="32"/>
        </w:rPr>
        <w:t>3．其他组织申请的应提交下列文件：</w:t>
      </w:r>
    </w:p>
    <w:p w14:paraId="71E61F1B">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（1）竞买申请书（原件）；</w:t>
      </w:r>
    </w:p>
    <w:p w14:paraId="71F812E7">
      <w:pPr>
        <w:pStyle w:val="43"/>
        <w:keepNext w:val="0"/>
        <w:keepLines w:val="0"/>
        <w:pageBreakBefore w:val="0"/>
        <w:kinsoku/>
        <w:wordWrap/>
        <w:overflowPunct/>
        <w:topLinePunct w:val="0"/>
        <w:autoSpaceDE/>
        <w:autoSpaceDN/>
        <w:bidi w:val="0"/>
        <w:snapToGrid/>
        <w:spacing w:line="520" w:lineRule="exact"/>
        <w:ind w:firstLine="640" w:firstLineChars="200"/>
        <w:textAlignment w:val="auto"/>
        <w:rPr>
          <w:rFonts w:ascii="Times New Roman"/>
        </w:rPr>
      </w:pPr>
      <w:r>
        <w:rPr>
          <w:rFonts w:ascii="Times New Roman" w:eastAsia="仿宋_GB2312"/>
          <w:bCs/>
        </w:rPr>
        <w:t>（2）竞买协议（原件）；</w:t>
      </w:r>
    </w:p>
    <w:p w14:paraId="3B5F8C3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（3）表明该组织合法存在的文件或有效证明复印件；</w:t>
      </w:r>
    </w:p>
    <w:p w14:paraId="044A8C4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（4）表明该组织负责人有效身份证明文件复印件；</w:t>
      </w:r>
    </w:p>
    <w:p w14:paraId="307DCEE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266E5F0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（6）竞买保证金缴款凭据复印件。</w:t>
      </w:r>
    </w:p>
    <w:p w14:paraId="36088370">
      <w:pPr>
        <w:keepNext w:val="0"/>
        <w:keepLines w:val="0"/>
        <w:pageBreakBefore w:val="0"/>
        <w:kinsoku/>
        <w:wordWrap/>
        <w:overflowPunct/>
        <w:topLinePunct w:val="0"/>
        <w:autoSpaceDE/>
        <w:autoSpaceDN/>
        <w:bidi w:val="0"/>
        <w:snapToGrid/>
        <w:spacing w:line="520" w:lineRule="exact"/>
        <w:ind w:firstLine="800" w:firstLineChars="250"/>
        <w:textAlignment w:val="auto"/>
        <w:rPr>
          <w:rFonts w:eastAsia="仿宋_GB2312"/>
          <w:bCs/>
          <w:sz w:val="32"/>
          <w:szCs w:val="32"/>
        </w:rPr>
      </w:pPr>
      <w:r>
        <w:rPr>
          <w:rFonts w:eastAsia="仿宋_GB2312"/>
          <w:bCs/>
          <w:sz w:val="32"/>
          <w:szCs w:val="32"/>
        </w:rPr>
        <w:t>4．境外申请人申请的应提交下列文件：</w:t>
      </w:r>
    </w:p>
    <w:p w14:paraId="34D57F1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（1）竞买申请书（原件）；</w:t>
      </w:r>
    </w:p>
    <w:p w14:paraId="1A635024">
      <w:pPr>
        <w:pStyle w:val="43"/>
        <w:keepNext w:val="0"/>
        <w:keepLines w:val="0"/>
        <w:pageBreakBefore w:val="0"/>
        <w:kinsoku/>
        <w:wordWrap/>
        <w:overflowPunct/>
        <w:topLinePunct w:val="0"/>
        <w:autoSpaceDE/>
        <w:autoSpaceDN/>
        <w:bidi w:val="0"/>
        <w:snapToGrid/>
        <w:spacing w:line="520" w:lineRule="exact"/>
        <w:ind w:firstLine="640" w:firstLineChars="200"/>
        <w:textAlignment w:val="auto"/>
        <w:rPr>
          <w:rFonts w:ascii="Times New Roman"/>
        </w:rPr>
      </w:pPr>
      <w:r>
        <w:rPr>
          <w:rFonts w:ascii="Times New Roman" w:eastAsia="仿宋_GB2312"/>
          <w:bCs/>
        </w:rPr>
        <w:t>（2）竞买协议（原件）；</w:t>
      </w:r>
    </w:p>
    <w:p w14:paraId="00C0511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（3）境外法人、自然人、其他组织的有效身份证明文件复印件；</w:t>
      </w:r>
    </w:p>
    <w:p w14:paraId="591B5803">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委托他人代为申请及办理相关手续的，须提交授权委托书原件（应当列明具体委托事项、权限等）及代理人的有效身份证明文件复印件，且所提交的授权委托书必须经境外申请人的国家进行公证，并经中国驻国使领馆认证；</w:t>
      </w:r>
    </w:p>
    <w:p w14:paraId="24E39BB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（5）竞买保证金缴款凭据复印件。</w:t>
      </w:r>
    </w:p>
    <w:p w14:paraId="0E9CBDF7">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上述文件必须附中文译本，所有文件的解释以中文译本为准。若发生纠纷，必须以中国法为准据法。</w:t>
      </w:r>
    </w:p>
    <w:p w14:paraId="736415D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 xml:space="preserve"> 5．联合申请的应提交下列文件：</w:t>
      </w:r>
    </w:p>
    <w:p w14:paraId="3A0443EB">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（1）联合申请各方共同签署的竞买申请书（原件）；</w:t>
      </w:r>
    </w:p>
    <w:p w14:paraId="2648F505">
      <w:pPr>
        <w:pStyle w:val="43"/>
        <w:keepNext w:val="0"/>
        <w:keepLines w:val="0"/>
        <w:pageBreakBefore w:val="0"/>
        <w:kinsoku/>
        <w:wordWrap/>
        <w:overflowPunct/>
        <w:topLinePunct w:val="0"/>
        <w:autoSpaceDE/>
        <w:autoSpaceDN/>
        <w:bidi w:val="0"/>
        <w:snapToGrid/>
        <w:spacing w:line="520" w:lineRule="exact"/>
        <w:ind w:firstLine="640" w:firstLineChars="200"/>
        <w:textAlignment w:val="auto"/>
        <w:rPr>
          <w:rFonts w:ascii="Times New Roman"/>
        </w:rPr>
      </w:pPr>
      <w:r>
        <w:rPr>
          <w:rFonts w:ascii="Times New Roman" w:eastAsia="仿宋_GB2312"/>
          <w:bCs/>
        </w:rPr>
        <w:t>（2）竞买协议（原件）；</w:t>
      </w:r>
    </w:p>
    <w:p w14:paraId="7511CB5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（3）联合申请各方的有效身份证明文件复印件；</w:t>
      </w:r>
    </w:p>
    <w:p w14:paraId="0BC4BD6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（4）联合竞买协议，协议要规定联合各方的出资比例、权利、义务，并明确签订《国有建设用地使用权出让合同》时的受让人，竞买保证金的交退方式；</w:t>
      </w:r>
    </w:p>
    <w:p w14:paraId="79D5732B">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（5）委托他人代为申请及办理相关手续的，须提交授权委托书原件（应当列明具体委托事项、权限等）及代理人的有效身份证明文件复印件；</w:t>
      </w:r>
    </w:p>
    <w:p w14:paraId="3F9FDA0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（6）竞买保证金缴款凭据复印件。</w:t>
      </w:r>
    </w:p>
    <w:p w14:paraId="5FFEB06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本次国有建设用地使用权挂牌出让不接受信函、传真、电子邮件和口头竞买申请。</w:t>
      </w:r>
    </w:p>
    <w:p w14:paraId="3DA90B4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（三）资格审查</w:t>
      </w:r>
    </w:p>
    <w:p w14:paraId="3064B23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 我中心负责对在报名受理时间内收到的申请进行资格审查。</w:t>
      </w:r>
    </w:p>
    <w:p w14:paraId="3CF552A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经审查，有下列情形之一的，视为无效申请，我中心不予受理：</w:t>
      </w:r>
    </w:p>
    <w:p w14:paraId="0103208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（1）申请文件在申请受理期限届满后收到的；</w:t>
      </w:r>
    </w:p>
    <w:p w14:paraId="5321111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（2）申请文件不齐全或不符合规定的；</w:t>
      </w:r>
    </w:p>
    <w:p w14:paraId="35A99A4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（3）申请文件字迹不清，无法辨认的；</w:t>
      </w:r>
    </w:p>
    <w:p w14:paraId="47DD378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（4）竞买保证金未在规定期限内存入指定账户的；</w:t>
      </w:r>
    </w:p>
    <w:p w14:paraId="38490BD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（5）申请人不具备相应主体资格或不符合公告规定条件的；</w:t>
      </w:r>
    </w:p>
    <w:p w14:paraId="7E1AAB1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（6）委托他人代理，委托文件不齐全或不符合规定的；</w:t>
      </w:r>
    </w:p>
    <w:p w14:paraId="5B00175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（7）通过中国土地市场网、信用中国（四川）网等查询有不良诚信记录的；</w:t>
      </w:r>
    </w:p>
    <w:p w14:paraId="7FE2187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（8）申请文件或申请程序有不符合法律法规、公告或本文件规定的其他情形的。</w:t>
      </w:r>
    </w:p>
    <w:p w14:paraId="74137DF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经审查，一旦发现有下列情形之一的，我中心有权拒绝申请人的竞买申请或取消竞买人的竞买资格：</w:t>
      </w:r>
    </w:p>
    <w:p w14:paraId="1D1D2B3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（1）参加同一宗地竞买的申请人之间存在关联企业、上下级隶属关系及投资关系的；</w:t>
      </w:r>
    </w:p>
    <w:p w14:paraId="50A9A2E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（2）未按曾签订的《国有建设用地使用权出让合同》支付土地出让金的；</w:t>
      </w:r>
    </w:p>
    <w:p w14:paraId="46BCE4F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（3）存在伪造公文骗取用地和非法倒卖土地等犯罪行为的；</w:t>
      </w:r>
    </w:p>
    <w:p w14:paraId="216C905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（4）存在非法转让土地使用权等违法行为的；</w:t>
      </w:r>
    </w:p>
    <w:p w14:paraId="78936F43">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（5）因自身原因造成土地闲置一年以上的；</w:t>
      </w:r>
    </w:p>
    <w:p w14:paraId="381C059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（6）违背《国有建设用地使用权出让合同》约定条件开发利用土地的；</w:t>
      </w:r>
    </w:p>
    <w:p w14:paraId="64D0E8E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（7）在竞买活动中申请人有不良记录的。</w:t>
      </w:r>
    </w:p>
    <w:p w14:paraId="73ED6443">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 对认定的无效申请，已</w:t>
      </w:r>
      <w:r>
        <w:rPr>
          <w:rFonts w:eastAsia="仿宋_GB2312"/>
          <w:sz w:val="32"/>
          <w:szCs w:val="32"/>
        </w:rPr>
        <w:t>缴纳</w:t>
      </w:r>
      <w:r>
        <w:rPr>
          <w:rFonts w:eastAsia="仿宋_GB2312"/>
          <w:bCs/>
          <w:sz w:val="32"/>
          <w:szCs w:val="32"/>
        </w:rPr>
        <w:t>的竞买保证金在3个工作日内予以退还并及时书面通知申请人。</w:t>
      </w:r>
    </w:p>
    <w:p w14:paraId="2BF12DA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3．经审查，申请人具备申请条件和无不良记录的，我中心将发放《竞买资格确认书》。</w:t>
      </w:r>
    </w:p>
    <w:p w14:paraId="282CEE1E">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黑体"/>
          <w:bCs/>
          <w:sz w:val="32"/>
          <w:szCs w:val="32"/>
        </w:rPr>
      </w:pPr>
      <w:r>
        <w:rPr>
          <w:rFonts w:hint="eastAsia" w:eastAsia="黑体"/>
          <w:bCs/>
          <w:sz w:val="32"/>
          <w:szCs w:val="32"/>
        </w:rPr>
        <w:t>十、起始价、增价幅度</w:t>
      </w:r>
    </w:p>
    <w:p w14:paraId="7F9A1E4B">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bCs/>
          <w:sz w:val="32"/>
          <w:szCs w:val="32"/>
        </w:rPr>
      </w:pPr>
      <w:r>
        <w:rPr>
          <w:rFonts w:hint="eastAsia" w:eastAsia="楷体_GB2312"/>
          <w:b/>
          <w:bCs/>
          <w:sz w:val="32"/>
          <w:szCs w:val="32"/>
        </w:rPr>
        <w:t>（一）起始价：</w:t>
      </w:r>
      <w:r>
        <w:rPr>
          <w:rFonts w:hint="eastAsia" w:eastAsia="楷体_GB2312"/>
          <w:b/>
          <w:bCs/>
          <w:sz w:val="32"/>
          <w:szCs w:val="32"/>
          <w:lang w:val="en-US" w:eastAsia="zh-CN"/>
        </w:rPr>
        <w:t>580</w:t>
      </w:r>
      <w:r>
        <w:rPr>
          <w:rFonts w:hint="eastAsia" w:eastAsia="楷体_GB2312"/>
          <w:b/>
          <w:bCs/>
          <w:sz w:val="32"/>
          <w:szCs w:val="32"/>
        </w:rPr>
        <w:t>万元。</w:t>
      </w:r>
    </w:p>
    <w:p w14:paraId="11309232">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bCs/>
          <w:sz w:val="32"/>
          <w:szCs w:val="32"/>
        </w:rPr>
      </w:pPr>
      <w:r>
        <w:rPr>
          <w:rFonts w:hint="eastAsia" w:eastAsia="楷体_GB2312"/>
          <w:b/>
          <w:bCs/>
          <w:sz w:val="32"/>
          <w:szCs w:val="32"/>
        </w:rPr>
        <w:t>（二）增价幅度：</w:t>
      </w:r>
      <w:r>
        <w:rPr>
          <w:rFonts w:hint="eastAsia" w:eastAsia="楷体_GB2312"/>
          <w:b/>
          <w:bCs/>
          <w:sz w:val="32"/>
          <w:szCs w:val="32"/>
          <w:lang w:val="en-US" w:eastAsia="zh-CN"/>
        </w:rPr>
        <w:t>5</w:t>
      </w:r>
      <w:r>
        <w:rPr>
          <w:rFonts w:hint="eastAsia" w:eastAsia="楷体_GB2312"/>
          <w:b/>
          <w:bCs/>
          <w:sz w:val="32"/>
          <w:szCs w:val="32"/>
        </w:rPr>
        <w:t>万元或</w:t>
      </w:r>
      <w:r>
        <w:rPr>
          <w:rFonts w:hint="eastAsia" w:eastAsia="楷体_GB2312"/>
          <w:b/>
          <w:bCs/>
          <w:sz w:val="32"/>
          <w:szCs w:val="32"/>
          <w:lang w:val="en-US" w:eastAsia="zh-CN"/>
        </w:rPr>
        <w:t>5</w:t>
      </w:r>
      <w:r>
        <w:rPr>
          <w:rFonts w:hint="eastAsia" w:eastAsia="楷体_GB2312"/>
          <w:b/>
          <w:bCs/>
          <w:sz w:val="32"/>
          <w:szCs w:val="32"/>
        </w:rPr>
        <w:t>万元以上。</w:t>
      </w:r>
    </w:p>
    <w:p w14:paraId="76FC6D20">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黑体"/>
          <w:bCs/>
          <w:sz w:val="32"/>
          <w:szCs w:val="32"/>
        </w:rPr>
      </w:pPr>
      <w:r>
        <w:rPr>
          <w:rFonts w:hint="eastAsia" w:eastAsia="黑体"/>
          <w:bCs/>
          <w:sz w:val="32"/>
          <w:szCs w:val="32"/>
        </w:rPr>
        <w:t>十一、挂牌交易时间</w:t>
      </w:r>
    </w:p>
    <w:p w14:paraId="5660E6DD">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bCs/>
          <w:sz w:val="32"/>
          <w:szCs w:val="32"/>
        </w:rPr>
      </w:pPr>
      <w:r>
        <w:rPr>
          <w:rFonts w:hint="eastAsia" w:eastAsia="楷体_GB2312"/>
          <w:b/>
          <w:bCs/>
          <w:sz w:val="32"/>
          <w:szCs w:val="32"/>
        </w:rPr>
        <w:t>（一）挂牌起始时间：</w:t>
      </w:r>
      <w:r>
        <w:rPr>
          <w:rFonts w:eastAsia="楷体_GB2312"/>
          <w:b/>
          <w:bCs/>
          <w:sz w:val="32"/>
          <w:szCs w:val="32"/>
        </w:rPr>
        <w:t>202</w:t>
      </w:r>
      <w:r>
        <w:rPr>
          <w:rFonts w:hint="eastAsia" w:eastAsia="楷体_GB2312"/>
          <w:b/>
          <w:bCs/>
          <w:sz w:val="32"/>
          <w:szCs w:val="32"/>
          <w:lang w:val="en-US" w:eastAsia="zh-CN"/>
        </w:rPr>
        <w:t>4</w:t>
      </w:r>
      <w:r>
        <w:rPr>
          <w:rFonts w:hint="eastAsia" w:eastAsia="楷体_GB2312"/>
          <w:b/>
          <w:bCs/>
          <w:sz w:val="32"/>
          <w:szCs w:val="32"/>
        </w:rPr>
        <w:t>年</w:t>
      </w:r>
      <w:r>
        <w:rPr>
          <w:rFonts w:hint="eastAsia" w:eastAsia="楷体_GB2312"/>
          <w:b/>
          <w:bCs/>
          <w:sz w:val="32"/>
          <w:szCs w:val="32"/>
          <w:lang w:val="en-US" w:eastAsia="zh-CN"/>
        </w:rPr>
        <w:t>9</w:t>
      </w:r>
      <w:r>
        <w:rPr>
          <w:rFonts w:hint="eastAsia" w:eastAsia="楷体_GB2312"/>
          <w:b/>
          <w:bCs/>
          <w:sz w:val="32"/>
          <w:szCs w:val="32"/>
        </w:rPr>
        <w:t>月</w:t>
      </w:r>
      <w:r>
        <w:rPr>
          <w:rFonts w:hint="eastAsia" w:eastAsia="楷体_GB2312"/>
          <w:b/>
          <w:bCs/>
          <w:sz w:val="32"/>
          <w:szCs w:val="32"/>
          <w:lang w:val="en-US" w:eastAsia="zh-CN"/>
        </w:rPr>
        <w:t>23</w:t>
      </w:r>
      <w:r>
        <w:rPr>
          <w:rFonts w:hint="eastAsia" w:eastAsia="楷体_GB2312"/>
          <w:b/>
          <w:bCs/>
          <w:sz w:val="32"/>
          <w:szCs w:val="32"/>
        </w:rPr>
        <w:t>日</w:t>
      </w:r>
      <w:r>
        <w:rPr>
          <w:rFonts w:eastAsia="楷体_GB2312"/>
          <w:b/>
          <w:bCs/>
          <w:sz w:val="32"/>
          <w:szCs w:val="32"/>
        </w:rPr>
        <w:t>09:00</w:t>
      </w:r>
      <w:r>
        <w:rPr>
          <w:rFonts w:hint="eastAsia" w:eastAsia="楷体_GB2312"/>
          <w:b/>
          <w:bCs/>
          <w:sz w:val="32"/>
          <w:szCs w:val="32"/>
        </w:rPr>
        <w:t>。</w:t>
      </w:r>
    </w:p>
    <w:p w14:paraId="7939C0C8">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bCs/>
          <w:sz w:val="32"/>
          <w:szCs w:val="32"/>
        </w:rPr>
      </w:pPr>
      <w:r>
        <w:rPr>
          <w:rFonts w:hint="eastAsia" w:eastAsia="楷体_GB2312"/>
          <w:b/>
          <w:bCs/>
          <w:sz w:val="32"/>
          <w:szCs w:val="32"/>
        </w:rPr>
        <w:t>（二）挂牌截止时间：</w:t>
      </w:r>
      <w:r>
        <w:rPr>
          <w:rFonts w:eastAsia="楷体_GB2312"/>
          <w:b/>
          <w:bCs/>
          <w:sz w:val="32"/>
          <w:szCs w:val="32"/>
        </w:rPr>
        <w:t>20</w:t>
      </w:r>
      <w:r>
        <w:rPr>
          <w:rFonts w:hint="eastAsia" w:eastAsia="楷体_GB2312"/>
          <w:b/>
          <w:bCs/>
          <w:sz w:val="32"/>
          <w:szCs w:val="32"/>
        </w:rPr>
        <w:t>2</w:t>
      </w:r>
      <w:r>
        <w:rPr>
          <w:rFonts w:hint="eastAsia" w:eastAsia="楷体_GB2312"/>
          <w:b/>
          <w:bCs/>
          <w:sz w:val="32"/>
          <w:szCs w:val="32"/>
          <w:lang w:val="en-US" w:eastAsia="zh-CN"/>
        </w:rPr>
        <w:t>4</w:t>
      </w:r>
      <w:r>
        <w:rPr>
          <w:rFonts w:hint="eastAsia" w:eastAsia="楷体_GB2312"/>
          <w:b/>
          <w:bCs/>
          <w:sz w:val="32"/>
          <w:szCs w:val="32"/>
        </w:rPr>
        <w:t>年</w:t>
      </w:r>
      <w:r>
        <w:rPr>
          <w:rFonts w:hint="eastAsia" w:eastAsia="楷体_GB2312"/>
          <w:b/>
          <w:bCs/>
          <w:sz w:val="32"/>
          <w:szCs w:val="32"/>
          <w:lang w:val="en-US" w:eastAsia="zh-CN"/>
        </w:rPr>
        <w:t>10</w:t>
      </w:r>
      <w:r>
        <w:rPr>
          <w:rFonts w:hint="eastAsia" w:eastAsia="楷体_GB2312"/>
          <w:b/>
          <w:bCs/>
          <w:sz w:val="32"/>
          <w:szCs w:val="32"/>
        </w:rPr>
        <w:t>月</w:t>
      </w:r>
      <w:r>
        <w:rPr>
          <w:rFonts w:hint="eastAsia" w:eastAsia="楷体_GB2312"/>
          <w:b/>
          <w:bCs/>
          <w:sz w:val="32"/>
          <w:szCs w:val="32"/>
          <w:lang w:val="en-US" w:eastAsia="zh-CN"/>
        </w:rPr>
        <w:t>16</w:t>
      </w:r>
      <w:r>
        <w:rPr>
          <w:rFonts w:hint="eastAsia" w:eastAsia="楷体_GB2312"/>
          <w:b/>
          <w:bCs/>
          <w:sz w:val="32"/>
          <w:szCs w:val="32"/>
        </w:rPr>
        <w:t>日</w:t>
      </w:r>
      <w:r>
        <w:rPr>
          <w:rFonts w:eastAsia="楷体_GB2312"/>
          <w:b/>
          <w:bCs/>
          <w:sz w:val="32"/>
          <w:szCs w:val="32"/>
        </w:rPr>
        <w:t>10:00</w:t>
      </w:r>
      <w:r>
        <w:rPr>
          <w:rFonts w:hint="eastAsia" w:eastAsia="楷体_GB2312"/>
          <w:b/>
          <w:bCs/>
          <w:sz w:val="32"/>
          <w:szCs w:val="32"/>
        </w:rPr>
        <w:t>。</w:t>
      </w:r>
    </w:p>
    <w:p w14:paraId="146C8C27">
      <w:pPr>
        <w:keepNext w:val="0"/>
        <w:keepLines w:val="0"/>
        <w:pageBreakBefore w:val="0"/>
        <w:kinsoku/>
        <w:wordWrap/>
        <w:overflowPunct/>
        <w:topLinePunct w:val="0"/>
        <w:autoSpaceDE/>
        <w:autoSpaceDN/>
        <w:bidi w:val="0"/>
        <w:snapToGrid/>
        <w:spacing w:line="520" w:lineRule="exact"/>
        <w:ind w:left="-2" w:leftChars="-1" w:firstLine="640" w:firstLineChars="200"/>
        <w:textAlignment w:val="auto"/>
        <w:rPr>
          <w:rFonts w:eastAsia="黑体"/>
          <w:bCs/>
          <w:sz w:val="32"/>
          <w:szCs w:val="32"/>
        </w:rPr>
      </w:pPr>
      <w:r>
        <w:rPr>
          <w:rFonts w:eastAsia="黑体"/>
          <w:bCs/>
          <w:sz w:val="32"/>
          <w:szCs w:val="32"/>
        </w:rPr>
        <w:t>十二、网上报价规则</w:t>
      </w:r>
    </w:p>
    <w:p w14:paraId="119DB95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（一）本次挂牌采用有底价、增价方式，以价高者得为原则确定竞得人。</w:t>
      </w:r>
    </w:p>
    <w:p w14:paraId="58E3553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（二）竞买人须通过网上交易系统进行报价，初次报价不得低于起始价。</w:t>
      </w:r>
    </w:p>
    <w:p w14:paraId="239C19B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（三）网上报价以增价方式进行，每次加价不得小于规定的最小增价幅度，且为最小增价幅度整数倍。</w:t>
      </w:r>
    </w:p>
    <w:p w14:paraId="4178E17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（四）网上交易系统对符合规定的报价予以接收，并即时更新显示挂牌价格。</w:t>
      </w:r>
    </w:p>
    <w:p w14:paraId="77386DB7">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（五）在挂牌交易时间内，同一竞买人可多次报价。</w:t>
      </w:r>
    </w:p>
    <w:p w14:paraId="46802D7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（六）竞买人应当谨慎报价，报价一经提交，不得撤回。</w:t>
      </w:r>
    </w:p>
    <w:p w14:paraId="27EF9F2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楷体_GB2312"/>
          <w:bCs/>
          <w:sz w:val="32"/>
          <w:szCs w:val="32"/>
        </w:rPr>
        <w:t>（七）挂牌期限届满，挂牌主持人在挂牌截止现场连续三次宣布同一报价（即第一次、第二次、最后一次），而没有竞买人表示愿意继续竞价的，该报价视为最高报价，挂牌主持人宣布挂牌活动结束并按下列规定确定是否成交</w:t>
      </w:r>
      <w:r>
        <w:rPr>
          <w:rFonts w:eastAsia="仿宋_GB2312"/>
          <w:bCs/>
          <w:sz w:val="32"/>
          <w:szCs w:val="32"/>
        </w:rPr>
        <w:t>：</w:t>
      </w:r>
    </w:p>
    <w:p w14:paraId="358010F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1．在挂牌期限内只有一个竞买人报价，且报价不低于底价，并符合本规则中其他规定的，挂牌成交。</w:t>
      </w:r>
    </w:p>
    <w:p w14:paraId="7D5A4F67">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2．在挂牌期限内有两个或者两个以上的竞买人报价的，并符合本规则中其他规定的，且报价不低于底价，出价最高者为竞得人。</w:t>
      </w:r>
    </w:p>
    <w:p w14:paraId="1A22148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3．在挂牌期限内竞买人的报价低于底价的，挂牌不成交。</w:t>
      </w:r>
    </w:p>
    <w:p w14:paraId="1C687A8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（八）挂牌期限届满时，有两个或者两个以上的竞买人表示愿意继续竞价的，挂牌出让转入现场竞价。</w:t>
      </w:r>
    </w:p>
    <w:p w14:paraId="6F9BA36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（九）现场竞价的起始价为挂牌报价截止时的最高报价增加一个加价幅度后的价格。</w:t>
      </w:r>
    </w:p>
    <w:p w14:paraId="6C60A6A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（十）现场竞价中，竞买人的应价牌号须与《挂牌报价单》确认的竞买人编号一致。</w:t>
      </w:r>
    </w:p>
    <w:p w14:paraId="429B032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（十一）竞买人只能随行二人进入竞买席位，进入竞买席位的人员的应价行为及其他行为均视为竞买人行为。</w:t>
      </w:r>
    </w:p>
    <w:p w14:paraId="3B0879E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二）竞买人应价时，需手举交易中心统一制作的应价牌，举牌应将应价牌正举且全部高出头部，举牌代表一个增价幅度的加价，没有举牌而以其他方式应价的无效。竞买号牌代表竞买人的资格，竞买人未能妥善保管其领取的号牌，致使他人以该号牌报价的，视同领取该号牌的竞买人报价行为，并由其承担相应的法律责任。</w:t>
      </w:r>
    </w:p>
    <w:p w14:paraId="61DC77D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（十三）竞买人一经应价不得撤回，当其他竞买人有更高应价时，其应价即丧失约束力。</w:t>
      </w:r>
    </w:p>
    <w:p w14:paraId="27E664D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（十四）竞价过程中，同一价格多人同时举牌应价的，以挂牌主持人确定的竞买人的应价为准。</w:t>
      </w:r>
    </w:p>
    <w:p w14:paraId="1E928CD7">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（十五）竞买人以举牌方式应价的同时也可以口头方式报价，但报价的加价幅度不得小于挂牌主持人宣布或调整的增价幅度，即按大于或等于一个增价幅度加价，并得到挂牌主持人的确认，否则其报价不予接受。</w:t>
      </w:r>
    </w:p>
    <w:p w14:paraId="0A10DCF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（十六）挂牌主持人连续三次宣布同一应价或者报价（即第一次、第二次、最后一次）而无人再应价或报价时，该应价视为最高应价。</w:t>
      </w:r>
    </w:p>
    <w:p w14:paraId="368E8A0C">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（十七）最高应价高于或等于底价时，挂牌主持人宣布挂牌成交；挂牌主持人低于底价宣布成交的，挂牌无效。</w:t>
      </w:r>
    </w:p>
    <w:p w14:paraId="2A76D3E4">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八）竞买人最高报价或应价未达到底价时，挂牌主持人可调整增价幅度。若竞买人愿意继续加价，且报价或应价高于或等于底价的，挂牌主持人宣布挂牌成交；若竞买人的报价或应价未达到底价的，且不愿意继续加价和应价的，挂牌主持人宣布挂牌终止。</w:t>
      </w:r>
    </w:p>
    <w:p w14:paraId="06E0018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十九）竞买人或竞得人对挂牌成交结果或过程提出异议的，由自然资源部门现场监督员对现场挂牌结果进行裁定。竞买人或竞得人必须服从自然资源部门现场监督员的裁定，不得以任何理由阻止、扰乱交易活动的进行。</w:t>
      </w:r>
    </w:p>
    <w:p w14:paraId="5EAE93F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（二十）对扰乱、破坏会场秩序或串标、围标的竞买人，挂牌主持人可当场取消其本场竞买人的竞买资格，由现场安保劝离或强制带离挂牌会截止现场，涉嫌违法的由有关机构追究其法律责任。</w:t>
      </w:r>
    </w:p>
    <w:p w14:paraId="0F7BBD7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（二十一）对裁定结果有异议的，可在成交结果公示期限内按规反映。</w:t>
      </w:r>
    </w:p>
    <w:p w14:paraId="1EB27FCB">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sz w:val="32"/>
          <w:szCs w:val="32"/>
        </w:rPr>
      </w:pPr>
      <w:r>
        <w:rPr>
          <w:rFonts w:eastAsia="黑体"/>
          <w:sz w:val="32"/>
          <w:szCs w:val="32"/>
        </w:rPr>
        <w:t>十三、</w:t>
      </w:r>
      <w:r>
        <w:rPr>
          <w:rFonts w:eastAsia="黑体"/>
          <w:bCs/>
          <w:sz w:val="32"/>
          <w:szCs w:val="32"/>
        </w:rPr>
        <w:t xml:space="preserve">挂牌程序 </w:t>
      </w:r>
    </w:p>
    <w:p w14:paraId="042F7D3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（一）在挂牌公告规定的挂牌起始日，交易中心将出让地块的位置、面积、用途、土地利用条件、使用年期、起始价、增价规则及增价幅度等挂牌公布。</w:t>
      </w:r>
    </w:p>
    <w:p w14:paraId="7A69E4E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（二）符合条件的竞买人在规定的报价时间内通过网上交易系统进行报价。</w:t>
      </w:r>
    </w:p>
    <w:p w14:paraId="2E03CB7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（三）网上交易系统对符合规定的报价予以接收，并即时更新显示挂牌价格，并继续接受新的报价。</w:t>
      </w:r>
    </w:p>
    <w:p w14:paraId="0899960A">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（四）竞买人凭《竞买资格确认书》和入场券，于挂牌当日09:30</w:t>
      </w:r>
      <w:r>
        <w:rPr>
          <w:rFonts w:hint="default" w:ascii="Times New Roman" w:hAnsi="Times New Roman" w:eastAsia="楷体_GB2312" w:cs="Times New Roman"/>
          <w:bCs/>
          <w:sz w:val="32"/>
          <w:szCs w:val="32"/>
        </w:rPr>
        <w:t>前到乐山市市中区柏杨东路199号二楼交易市场应价牌领取处领取应价牌，进入竞买席位现场竞价，竞买席位应与应价牌号一致。</w:t>
      </w:r>
    </w:p>
    <w:p w14:paraId="164210E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五）在挂牌截止现场，由国有土地使用权挂牌主持人宣布挂牌报价截止时的最高报价及其报价者，并询问竞买人是否愿意继续竞价。挂牌主持人现场连续三次报出最高挂牌价格，没有竞买人表示愿意继续竞价的，挂牌主持人按照挂牌规则确定竞得人。</w:t>
      </w:r>
    </w:p>
    <w:p w14:paraId="413322F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楷体_GB2312"/>
          <w:bCs/>
          <w:sz w:val="32"/>
          <w:szCs w:val="32"/>
        </w:rPr>
        <w:t>（六）在挂牌期限届满时，有两个或者两个以上的竞买人表示愿意继续竞价的，挂牌出让转入现场竞价。现场竞价由国有土地使用权挂牌主持人主持进行，取得竞买资格的竞买人均可参加现场竞价。现场竞价按下列程序举行：</w:t>
      </w:r>
    </w:p>
    <w:p w14:paraId="78BBA84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1．挂牌主持人应当宣布现场竞价的起始价、竞价规则和增价幅度，并宣布现场竞价开始。</w:t>
      </w:r>
    </w:p>
    <w:p w14:paraId="01B1C4D2">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2．参加现场竞价的竞买人按照竞价规则应价或报价。</w:t>
      </w:r>
    </w:p>
    <w:p w14:paraId="26D60D7D">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3．挂牌主持人确认该竞买人应价或者报价后继续竞价。</w:t>
      </w:r>
    </w:p>
    <w:p w14:paraId="14303BD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4．挂牌主持人按照现场竞价规则确定竞得人。</w:t>
      </w:r>
    </w:p>
    <w:p w14:paraId="7A3459D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（七）竞得人签订《最高报价确认书》、《成交确认书》。</w:t>
      </w:r>
    </w:p>
    <w:p w14:paraId="54C10D4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（八）挂牌主持人宣布挂牌活动结束。</w:t>
      </w:r>
    </w:p>
    <w:p w14:paraId="037DE2F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华文中宋"/>
          <w:b/>
          <w:sz w:val="32"/>
          <w:szCs w:val="32"/>
        </w:rPr>
      </w:pPr>
      <w:r>
        <w:rPr>
          <w:rFonts w:eastAsia="黑体"/>
          <w:bCs/>
          <w:sz w:val="32"/>
          <w:szCs w:val="32"/>
        </w:rPr>
        <w:t>十四、签订成交确认书</w:t>
      </w:r>
    </w:p>
    <w:p w14:paraId="64F52326">
      <w:pPr>
        <w:keepNext w:val="0"/>
        <w:keepLines w:val="0"/>
        <w:pageBreakBefore w:val="0"/>
        <w:kinsoku/>
        <w:wordWrap/>
        <w:overflowPunct/>
        <w:topLinePunct w:val="0"/>
        <w:autoSpaceDE/>
        <w:autoSpaceDN/>
        <w:bidi w:val="0"/>
        <w:snapToGrid/>
        <w:spacing w:line="520" w:lineRule="exact"/>
        <w:ind w:firstLine="640" w:firstLineChars="200"/>
        <w:textAlignment w:val="auto"/>
      </w:pPr>
      <w:r>
        <w:rPr>
          <w:rFonts w:eastAsia="仿宋_GB2312"/>
          <w:bCs/>
          <w:sz w:val="32"/>
          <w:szCs w:val="32"/>
        </w:rPr>
        <w:t>确定竞得人后，竞得人与交易中心在挂牌现场签订《成交确认书》。委托他人代签的，应提交法定代表人亲笔签名并加盖单位公章的授权委托书及委托代理人身份证复印件。《成交确认书》具有合同效力，对交易中心和竞得人具有法律效力，竞得人拒绝签订《成交确认书》也不能对抗挂牌成交结果的法律效力。交易中心改变挂牌结果或者竞得人放弃竞得地块的以及不按规定签订《成交确认书》的，应当承担法律责任。</w:t>
      </w:r>
    </w:p>
    <w:p w14:paraId="5FB0E40C">
      <w:pPr>
        <w:keepNext w:val="0"/>
        <w:keepLines w:val="0"/>
        <w:pageBreakBefore w:val="0"/>
        <w:numPr>
          <w:ilvl w:val="0"/>
          <w:numId w:val="3"/>
        </w:numPr>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交易服务费的缴纳</w:t>
      </w:r>
    </w:p>
    <w:p w14:paraId="56732856">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黑体"/>
          <w:bCs/>
          <w:sz w:val="32"/>
          <w:szCs w:val="32"/>
        </w:rPr>
      </w:pPr>
      <w:r>
        <w:rPr>
          <w:rFonts w:eastAsia="楷体_GB2312"/>
          <w:b/>
          <w:sz w:val="32"/>
          <w:szCs w:val="32"/>
        </w:rPr>
        <w:t>交易服务费从竞得人缴纳的竞买保证金中收取。</w:t>
      </w:r>
    </w:p>
    <w:p w14:paraId="45E9E4E5">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bCs/>
          <w:sz w:val="32"/>
          <w:szCs w:val="32"/>
        </w:rPr>
      </w:pPr>
      <w:r>
        <w:rPr>
          <w:rFonts w:eastAsia="楷体_GB2312"/>
          <w:b/>
          <w:sz w:val="32"/>
          <w:szCs w:val="32"/>
        </w:rPr>
        <w:t>交易服务费依照《乐山市发展和改革委员会转发&lt;关于规范全省政务服务和资源交易服务中心服务收费的通知&gt;的通知》（乐发改价格〔2015〕84号）文件规定收取</w:t>
      </w:r>
      <w:r>
        <w:rPr>
          <w:rFonts w:eastAsia="楷体_GB2312"/>
          <w:b/>
          <w:bCs/>
          <w:sz w:val="32"/>
          <w:szCs w:val="32"/>
        </w:rPr>
        <w:t>，即成交价款的1%。</w:t>
      </w:r>
    </w:p>
    <w:p w14:paraId="008706EB">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十六、竞买保证金转退</w:t>
      </w:r>
    </w:p>
    <w:p w14:paraId="79ABF8FB">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sz w:val="32"/>
          <w:szCs w:val="32"/>
        </w:rPr>
        <w:t>（一）</w:t>
      </w:r>
      <w:r>
        <w:rPr>
          <w:rFonts w:hint="eastAsia" w:ascii="Times New Roman" w:hAnsi="Times New Roman" w:eastAsia="楷体_GB2312" w:cs="Times New Roman"/>
          <w:sz w:val="32"/>
          <w:szCs w:val="32"/>
          <w:lang w:eastAsia="zh-CN"/>
        </w:rPr>
        <w:t>竞得人缴纳的竞买保证金用于支付交易服务费后的剩余部分转作受让地块的定金，竞得人须持《银行端查询缴税凭证》到乐山市公共资源交易服务中心办理该宗地块定金缴入国库的相关事宜。</w:t>
      </w:r>
    </w:p>
    <w:p w14:paraId="20713C30">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楷体_GB2312"/>
          <w:sz w:val="32"/>
          <w:szCs w:val="32"/>
        </w:rPr>
      </w:pPr>
      <w:r>
        <w:rPr>
          <w:rFonts w:eastAsia="楷体_GB2312"/>
          <w:sz w:val="32"/>
          <w:szCs w:val="32"/>
        </w:rPr>
        <w:t>（二）未竞得的竞买人缴纳的竞买保证金，在挂牌会结束后5个工作日内予以退还。</w:t>
      </w:r>
    </w:p>
    <w:p w14:paraId="45E47A52">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楷体_GB2312"/>
          <w:sz w:val="32"/>
          <w:szCs w:val="32"/>
        </w:rPr>
      </w:pPr>
      <w:r>
        <w:rPr>
          <w:rFonts w:eastAsia="楷体_GB2312"/>
          <w:sz w:val="32"/>
          <w:szCs w:val="32"/>
        </w:rPr>
        <w:t>（三）竞买保证金一律按“转进转出同户同账号”的方式退付。</w:t>
      </w:r>
    </w:p>
    <w:p w14:paraId="1408EEA3">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楷体_GB2312"/>
          <w:sz w:val="32"/>
          <w:szCs w:val="32"/>
        </w:rPr>
      </w:pPr>
      <w:r>
        <w:rPr>
          <w:rFonts w:eastAsia="楷体_GB2312"/>
          <w:sz w:val="32"/>
          <w:szCs w:val="32"/>
        </w:rPr>
        <w:t>（四）竞买人缴纳的竞买保证金一律不计利息。</w:t>
      </w:r>
    </w:p>
    <w:p w14:paraId="694E31F9">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十七、成交结果公示</w:t>
      </w:r>
    </w:p>
    <w:p w14:paraId="7138ED91">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本次国有建设用地使用权挂牌活动结束后3个工作日内，在中国土地市场网、四川土地矿权交易信息网、四川省公共资源交易信息网、乐山市公共资源交易服务中心网站、乐山市自然资源</w:t>
      </w:r>
      <w:r>
        <w:rPr>
          <w:rFonts w:hint="eastAsia" w:eastAsia="仿宋_GB2312"/>
          <w:bCs/>
          <w:sz w:val="32"/>
          <w:szCs w:val="32"/>
          <w:lang w:eastAsia="zh-CN"/>
        </w:rPr>
        <w:t>和规划</w:t>
      </w:r>
      <w:r>
        <w:rPr>
          <w:rFonts w:eastAsia="仿宋_GB2312"/>
          <w:bCs/>
          <w:sz w:val="32"/>
          <w:szCs w:val="32"/>
        </w:rPr>
        <w:t>局网站、四川乐山土地矿权交易信息网和乐山市土地矿权交易市场公告公示栏、交易大厅公布本次国有建设用地使用权挂牌出让结果。</w:t>
      </w:r>
    </w:p>
    <w:p w14:paraId="0081B13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黑体"/>
          <w:bCs/>
          <w:sz w:val="32"/>
          <w:szCs w:val="32"/>
        </w:rPr>
        <w:t>十八、国有建设用地使用权出让手续的办理</w:t>
      </w:r>
    </w:p>
    <w:p w14:paraId="47E06C94">
      <w:pPr>
        <w:keepNext w:val="0"/>
        <w:keepLines w:val="0"/>
        <w:pageBreakBefore w:val="0"/>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hint="eastAsia" w:eastAsia="楷体_GB2312"/>
          <w:b/>
          <w:sz w:val="32"/>
          <w:szCs w:val="32"/>
        </w:rPr>
        <w:t>（一）竞得人在挂牌成交之日起</w:t>
      </w:r>
      <w:r>
        <w:rPr>
          <w:rFonts w:eastAsia="楷体_GB2312"/>
          <w:b/>
          <w:sz w:val="32"/>
          <w:szCs w:val="32"/>
        </w:rPr>
        <w:t>10</w:t>
      </w:r>
      <w:r>
        <w:rPr>
          <w:rFonts w:hint="eastAsia" w:eastAsia="楷体_GB2312"/>
          <w:b/>
          <w:sz w:val="32"/>
          <w:szCs w:val="32"/>
        </w:rPr>
        <w:t>个工作日内，与乐山市市中区自然资源局签订《国有建设用地使用权出让合同》。</w:t>
      </w:r>
    </w:p>
    <w:p w14:paraId="5B408C7F">
      <w:pPr>
        <w:keepNext w:val="0"/>
        <w:keepLines w:val="0"/>
        <w:pageBreakBefore w:val="0"/>
        <w:tabs>
          <w:tab w:val="left" w:pos="4368"/>
        </w:tabs>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二）竞得人拟成立新公司进行开发建设的，应在《竞买申请书》中明确新公司的出资构成、成立时间、合同签订方式等内容。出让人可以根据挂牌出让结果，先与竞得人签订《国有建设用地使用权出让合同》，在竞得人按约定办理完新公司注册登记手续后，再与新公司签订《国有建设用地使用权出让合同变更协议》；也可按约定直接与新公司签订《国有建设用地使用权出让合同》。</w:t>
      </w:r>
    </w:p>
    <w:p w14:paraId="605B6177">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楷体_GB2312"/>
          <w:bCs/>
          <w:sz w:val="32"/>
          <w:szCs w:val="32"/>
        </w:rPr>
        <w:t>（三）竞得人缴纳相关税、费，并完善相关手续后，依法申请办理《不动产登记权证书》。</w:t>
      </w:r>
    </w:p>
    <w:p w14:paraId="071D500F">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楷体_GB2312"/>
          <w:bCs/>
          <w:sz w:val="32"/>
          <w:szCs w:val="32"/>
        </w:rPr>
      </w:pPr>
      <w:r>
        <w:rPr>
          <w:rFonts w:eastAsia="黑体"/>
          <w:bCs/>
          <w:sz w:val="32"/>
          <w:szCs w:val="32"/>
        </w:rPr>
        <w:t>十九、成交价款的缴付</w:t>
      </w:r>
    </w:p>
    <w:p w14:paraId="5797FBEB">
      <w:pPr>
        <w:keepNext w:val="0"/>
        <w:keepLines w:val="0"/>
        <w:pageBreakBefore w:val="0"/>
        <w:tabs>
          <w:tab w:val="left" w:pos="4368"/>
        </w:tabs>
        <w:kinsoku/>
        <w:wordWrap/>
        <w:overflowPunct/>
        <w:topLinePunct w:val="0"/>
        <w:autoSpaceDE/>
        <w:autoSpaceDN/>
        <w:bidi w:val="0"/>
        <w:snapToGrid/>
        <w:spacing w:line="520" w:lineRule="exact"/>
        <w:ind w:firstLine="643" w:firstLineChars="200"/>
        <w:textAlignment w:val="auto"/>
        <w:rPr>
          <w:rFonts w:eastAsia="楷体_GB2312"/>
          <w:b/>
          <w:sz w:val="32"/>
          <w:szCs w:val="32"/>
        </w:rPr>
      </w:pPr>
      <w:r>
        <w:rPr>
          <w:rFonts w:eastAsia="楷体_GB2312"/>
          <w:b/>
          <w:sz w:val="32"/>
          <w:szCs w:val="32"/>
        </w:rPr>
        <w:t>竞得人</w:t>
      </w:r>
      <w:r>
        <w:rPr>
          <w:rFonts w:hint="eastAsia" w:eastAsia="楷体_GB2312"/>
          <w:b/>
          <w:sz w:val="32"/>
          <w:szCs w:val="32"/>
        </w:rPr>
        <w:t>须</w:t>
      </w:r>
      <w:r>
        <w:rPr>
          <w:rFonts w:eastAsia="楷体_GB2312"/>
          <w:b/>
          <w:sz w:val="32"/>
          <w:szCs w:val="32"/>
        </w:rPr>
        <w:t>在签订《国有建设用地使用权出让合同》之日起</w:t>
      </w:r>
      <w:r>
        <w:rPr>
          <w:rFonts w:hint="eastAsia" w:eastAsia="楷体_GB2312"/>
          <w:b/>
          <w:sz w:val="32"/>
          <w:szCs w:val="32"/>
        </w:rPr>
        <w:t>1个月</w:t>
      </w:r>
      <w:r>
        <w:rPr>
          <w:rFonts w:eastAsia="楷体_GB2312"/>
          <w:b/>
          <w:sz w:val="32"/>
          <w:szCs w:val="32"/>
        </w:rPr>
        <w:t>内</w:t>
      </w:r>
      <w:r>
        <w:rPr>
          <w:rFonts w:hint="eastAsia" w:eastAsia="楷体_GB2312"/>
          <w:b/>
          <w:sz w:val="32"/>
          <w:szCs w:val="32"/>
        </w:rPr>
        <w:t>一次性支付全部土地出让价款。土地出让价款全额缴入</w:t>
      </w:r>
      <w:r>
        <w:rPr>
          <w:rFonts w:hint="eastAsia" w:eastAsia="楷体_GB2312"/>
          <w:b/>
          <w:sz w:val="32"/>
          <w:szCs w:val="32"/>
          <w:lang w:eastAsia="zh-CN"/>
        </w:rPr>
        <w:t>国家金库乐山市市中区支库</w:t>
      </w:r>
      <w:r>
        <w:rPr>
          <w:rFonts w:hint="eastAsia" w:eastAsia="楷体_GB2312"/>
          <w:b/>
          <w:sz w:val="32"/>
          <w:szCs w:val="32"/>
        </w:rPr>
        <w:t>。</w:t>
      </w:r>
      <w:r>
        <w:rPr>
          <w:rFonts w:eastAsia="楷体_GB2312"/>
          <w:b/>
          <w:sz w:val="32"/>
          <w:szCs w:val="32"/>
        </w:rPr>
        <w:t xml:space="preserve"> </w:t>
      </w:r>
    </w:p>
    <w:p w14:paraId="79B9153E">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二十、出让地块的交付</w:t>
      </w:r>
    </w:p>
    <w:p w14:paraId="6A40A63A">
      <w:pPr>
        <w:keepNext w:val="0"/>
        <w:keepLines w:val="0"/>
        <w:pageBreakBefore w:val="0"/>
        <w:kinsoku/>
        <w:wordWrap/>
        <w:overflowPunct/>
        <w:topLinePunct w:val="0"/>
        <w:autoSpaceDE/>
        <w:autoSpaceDN/>
        <w:bidi w:val="0"/>
        <w:snapToGrid/>
        <w:spacing w:line="520" w:lineRule="exact"/>
        <w:ind w:firstLine="643" w:firstLineChars="200"/>
        <w:textAlignment w:val="auto"/>
        <w:rPr>
          <w:rFonts w:hint="default" w:eastAsia="楷体_GB2312"/>
          <w:b/>
          <w:sz w:val="32"/>
          <w:szCs w:val="32"/>
          <w:lang w:val="en-US" w:eastAsia="zh-CN"/>
        </w:rPr>
      </w:pPr>
      <w:r>
        <w:rPr>
          <w:rFonts w:hint="eastAsia" w:eastAsia="楷体_GB2312"/>
          <w:b/>
          <w:sz w:val="32"/>
          <w:szCs w:val="32"/>
          <w:lang w:eastAsia="zh-CN"/>
        </w:rPr>
        <w:t>本宗地按现状地形地貌出让并移交土地。本</w:t>
      </w:r>
      <w:r>
        <w:rPr>
          <w:rFonts w:hint="eastAsia" w:eastAsia="楷体_GB2312"/>
          <w:b/>
          <w:sz w:val="32"/>
          <w:szCs w:val="32"/>
        </w:rPr>
        <w:t>宗地范围内涉及场地平整、</w:t>
      </w:r>
      <w:r>
        <w:rPr>
          <w:rFonts w:hint="eastAsia" w:eastAsia="楷体_GB2312"/>
          <w:b/>
          <w:sz w:val="32"/>
          <w:szCs w:val="32"/>
          <w:lang w:eastAsia="zh-CN"/>
        </w:rPr>
        <w:t>建构筑物的拆迁及地上杆线、</w:t>
      </w:r>
      <w:r>
        <w:rPr>
          <w:rFonts w:hint="eastAsia" w:eastAsia="楷体_GB2312"/>
          <w:b/>
          <w:sz w:val="32"/>
          <w:szCs w:val="32"/>
        </w:rPr>
        <w:t>地下管线的迁改以及其他任何地下状况由竞得人自行负责，所产生的费用由竞得人承担。</w:t>
      </w:r>
      <w:r>
        <w:rPr>
          <w:rFonts w:hint="eastAsia" w:eastAsia="楷体_GB2312"/>
          <w:b/>
          <w:sz w:val="32"/>
          <w:szCs w:val="32"/>
          <w:lang w:eastAsia="zh-CN"/>
        </w:rPr>
        <w:t>出让人在竞得人付清全部土地出让价款后</w:t>
      </w:r>
      <w:r>
        <w:rPr>
          <w:rFonts w:hint="eastAsia" w:eastAsia="楷体_GB2312"/>
          <w:b/>
          <w:sz w:val="32"/>
          <w:szCs w:val="32"/>
          <w:lang w:val="en-US" w:eastAsia="zh-CN"/>
        </w:rPr>
        <w:t>1个月内按现状地形地貌向竞得人交付土地。</w:t>
      </w:r>
    </w:p>
    <w:p w14:paraId="60BB4E53">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黑体"/>
          <w:bCs/>
          <w:sz w:val="32"/>
          <w:szCs w:val="32"/>
        </w:rPr>
      </w:pPr>
      <w:r>
        <w:rPr>
          <w:rFonts w:eastAsia="黑体"/>
          <w:bCs/>
          <w:sz w:val="32"/>
          <w:szCs w:val="32"/>
        </w:rPr>
        <w:t>二十一、违约责任</w:t>
      </w:r>
    </w:p>
    <w:p w14:paraId="2DE53A19">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（一）竞买人的违约行为和处理办法</w:t>
      </w:r>
    </w:p>
    <w:p w14:paraId="40F5ED28">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r>
        <w:rPr>
          <w:rFonts w:eastAsia="仿宋_GB2312"/>
          <w:bCs/>
          <w:sz w:val="32"/>
          <w:szCs w:val="32"/>
        </w:rPr>
        <w:t>1. 未按规定通过网上交易系统报价、未按时领取应价牌和出席挂牌截止活动（不可抗力因素除外），造成交易活动未能正常举行，而造成地块未成交的，须承担本次挂牌中交易中心</w:t>
      </w:r>
      <w:r>
        <w:rPr>
          <w:rFonts w:eastAsia="仿宋_GB2312"/>
          <w:sz w:val="32"/>
          <w:szCs w:val="32"/>
        </w:rPr>
        <w:t>组织挂牌活动所产生的成本费用（包括但不限于：公告费、资料费、人工费、场地及服务费等），并且承担成本费用不超过百分之三十的违约金。</w:t>
      </w:r>
    </w:p>
    <w:p w14:paraId="02F90E6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2. 恶意串通损害国家利益、社会利益或他人合法利益的，扰乱、破坏会场秩序的，阻挠其他竞买人应价的，阻碍挂牌主持人正常挂牌工作的，须承担本次挂牌中交易中心</w:t>
      </w:r>
      <w:r>
        <w:rPr>
          <w:rFonts w:eastAsia="仿宋_GB2312"/>
          <w:sz w:val="32"/>
          <w:szCs w:val="32"/>
        </w:rPr>
        <w:t>组织挂牌活动所产生的成本费用（包括但不限于：公告费、资料费、人工费、场地及服务费等），并且承担成本费用不超过百分之三十的违约金，且所缴纳的</w:t>
      </w:r>
      <w:r>
        <w:rPr>
          <w:rFonts w:eastAsia="仿宋_GB2312"/>
          <w:bCs/>
          <w:sz w:val="32"/>
          <w:szCs w:val="32"/>
        </w:rPr>
        <w:t>竞买保证金不予退还。</w:t>
      </w:r>
    </w:p>
    <w:p w14:paraId="741CDCE7">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bCs/>
          <w:sz w:val="32"/>
          <w:szCs w:val="32"/>
        </w:rPr>
      </w:pPr>
      <w:r>
        <w:rPr>
          <w:rFonts w:eastAsia="仿宋_GB2312"/>
          <w:bCs/>
          <w:sz w:val="32"/>
          <w:szCs w:val="32"/>
        </w:rPr>
        <w:t>竞买人存在上述违约行为的，将取消三年内在乐山市土地矿权交易市场参加国有建设用地使用权出让的竞买资格。并在市级以上（含市级）媒体和“信用中国”网站、中国土地市场网、四川土地矿权交易信息网、四川省公共资源交易信息网、四川省自然资源厅门户网站、乐山市公共资源交易服务中心网站、乐山市自然资源</w:t>
      </w:r>
      <w:r>
        <w:rPr>
          <w:rFonts w:hint="eastAsia" w:eastAsia="仿宋_GB2312"/>
          <w:bCs/>
          <w:sz w:val="32"/>
          <w:szCs w:val="32"/>
          <w:lang w:eastAsia="zh-CN"/>
        </w:rPr>
        <w:t>和规划</w:t>
      </w:r>
      <w:r>
        <w:rPr>
          <w:rFonts w:eastAsia="仿宋_GB2312"/>
          <w:bCs/>
          <w:sz w:val="32"/>
          <w:szCs w:val="32"/>
        </w:rPr>
        <w:t>局门户网站、乐山市土地矿权交易信息网上向社会公示，将其纳入不诚信档案。</w:t>
      </w:r>
    </w:p>
    <w:p w14:paraId="2FCC9F89">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（二）竞得人的违约行为和处理办法</w:t>
      </w:r>
    </w:p>
    <w:p w14:paraId="371EF3E2">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bCs/>
          <w:sz w:val="32"/>
          <w:szCs w:val="32"/>
        </w:rPr>
      </w:pPr>
      <w:r>
        <w:rPr>
          <w:rFonts w:eastAsia="仿宋_GB2312"/>
          <w:bCs/>
          <w:sz w:val="32"/>
          <w:szCs w:val="32"/>
        </w:rPr>
        <w:t>1．竞得人逾期或拒绝签订《最高报价确认书》、《成交确认书》的，须承担本次挂牌交易服务费，缴纳的竞买保证金不予退还。</w:t>
      </w:r>
    </w:p>
    <w:p w14:paraId="570970DC">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bCs/>
          <w:sz w:val="32"/>
          <w:szCs w:val="32"/>
        </w:rPr>
      </w:pPr>
      <w:r>
        <w:rPr>
          <w:rFonts w:eastAsia="仿宋_GB2312"/>
          <w:bCs/>
          <w:sz w:val="32"/>
          <w:szCs w:val="32"/>
        </w:rPr>
        <w:t>2. 竞得人逾期或拒绝签订《国有建设用地使用权出让合同》的，出让人终止供地，取消其竞得资格，竞得人缴纳的交易服务费不予退还，缴纳的竞买保证金（定金）不予退还。</w:t>
      </w:r>
    </w:p>
    <w:p w14:paraId="0987E80C">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bCs/>
          <w:sz w:val="32"/>
          <w:szCs w:val="32"/>
        </w:rPr>
      </w:pPr>
      <w:r>
        <w:rPr>
          <w:rFonts w:eastAsia="仿宋_GB2312"/>
          <w:bCs/>
          <w:sz w:val="32"/>
          <w:szCs w:val="32"/>
        </w:rPr>
        <w:t>3. 竞得人未按《国有建设用地使用权出让合同》约定及时开工竣工的、约定用途或开发利用条件开发建设的等约定履行相关义务的，应当承担违约责任。若违反法律法规的，依法追究法律责任。</w:t>
      </w:r>
    </w:p>
    <w:p w14:paraId="48E20699">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bCs/>
          <w:sz w:val="32"/>
          <w:szCs w:val="32"/>
        </w:rPr>
      </w:pPr>
      <w:r>
        <w:rPr>
          <w:rFonts w:eastAsia="仿宋_GB2312"/>
          <w:bCs/>
          <w:sz w:val="32"/>
          <w:szCs w:val="32"/>
        </w:rPr>
        <w:t>4. 竞得人因自身原因不能按期支付土地成交价款的，自滞纳之日起每日加收迟延支付款项1‰的滞纳金；延期付款超过60日的，出让人有权解除合同，收回土地，竞得人缴纳的交易服务费和定金不予退还。</w:t>
      </w:r>
    </w:p>
    <w:p w14:paraId="6588E990">
      <w:pPr>
        <w:pStyle w:val="6"/>
        <w:keepNext w:val="0"/>
        <w:keepLines w:val="0"/>
        <w:pageBreakBefore w:val="0"/>
        <w:kinsoku/>
        <w:wordWrap/>
        <w:overflowPunct/>
        <w:topLinePunct w:val="0"/>
        <w:autoSpaceDE/>
        <w:autoSpaceDN/>
        <w:bidi w:val="0"/>
        <w:adjustRightInd w:val="0"/>
        <w:snapToGrid/>
        <w:spacing w:line="520" w:lineRule="exact"/>
        <w:ind w:firstLine="640"/>
        <w:textAlignment w:val="auto"/>
        <w:rPr>
          <w:rFonts w:ascii="Times New Roman"/>
          <w:bCs/>
          <w:szCs w:val="32"/>
        </w:rPr>
      </w:pPr>
      <w:r>
        <w:rPr>
          <w:rFonts w:ascii="Times New Roman"/>
          <w:bCs/>
          <w:szCs w:val="32"/>
        </w:rPr>
        <w:t>竞得人存在上述违约行为的，将取消三年内在乐山市土地矿权交易市场参加国有建设用地使用权出让的竞买资格。并在市级以上（含市级）媒体和“信用中国”网站、中国土地市场网、四川土地矿权交易信息网、四川省公共资源交易服务中心网、四川省自然资源厅门户网站、乐山市公共资源交易服务中心网站、乐山市自然资源</w:t>
      </w:r>
      <w:r>
        <w:rPr>
          <w:rFonts w:hint="eastAsia" w:ascii="Times New Roman"/>
          <w:bCs/>
          <w:szCs w:val="32"/>
          <w:lang w:eastAsia="zh-CN"/>
        </w:rPr>
        <w:t>和规划</w:t>
      </w:r>
      <w:r>
        <w:rPr>
          <w:rFonts w:ascii="Times New Roman"/>
          <w:bCs/>
          <w:szCs w:val="32"/>
        </w:rPr>
        <w:t>局门户网站、乐山市土地矿权交易信息网上向社会公示，将其纳入不诚信档案。</w:t>
      </w:r>
    </w:p>
    <w:p w14:paraId="67DC350F">
      <w:pPr>
        <w:pStyle w:val="6"/>
        <w:keepNext w:val="0"/>
        <w:keepLines w:val="0"/>
        <w:pageBreakBefore w:val="0"/>
        <w:kinsoku/>
        <w:wordWrap/>
        <w:overflowPunct/>
        <w:topLinePunct w:val="0"/>
        <w:autoSpaceDE/>
        <w:autoSpaceDN/>
        <w:bidi w:val="0"/>
        <w:adjustRightInd w:val="0"/>
        <w:snapToGrid/>
        <w:spacing w:line="520" w:lineRule="exact"/>
        <w:ind w:firstLine="640"/>
        <w:textAlignment w:val="auto"/>
        <w:rPr>
          <w:rFonts w:ascii="Times New Roman" w:eastAsia="黑体"/>
          <w:szCs w:val="32"/>
        </w:rPr>
      </w:pPr>
      <w:r>
        <w:rPr>
          <w:rFonts w:ascii="Times New Roman" w:eastAsia="黑体"/>
          <w:szCs w:val="32"/>
        </w:rPr>
        <w:t xml:space="preserve">二十二、注意事项 </w:t>
      </w:r>
    </w:p>
    <w:p w14:paraId="5DD4324B">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（一）有下列情形之一的，交易中心应当在挂牌开始前终止挂牌活动，并通知竞买人：</w:t>
      </w:r>
    </w:p>
    <w:p w14:paraId="7408F8C5">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1．竞买人串通损害国家利益、社会利益或他人合法利益的；</w:t>
      </w:r>
    </w:p>
    <w:p w14:paraId="3D89187C">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2．工作人员私下接触竞买人，足以影响挂牌公正性的；</w:t>
      </w:r>
    </w:p>
    <w:p w14:paraId="51334DDF">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3．发现挂牌活动与国家法律法规相抵触的；</w:t>
      </w:r>
    </w:p>
    <w:p w14:paraId="384DB9B4">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4．应当依法终止挂牌活动的其他情形。</w:t>
      </w:r>
    </w:p>
    <w:p w14:paraId="66691190">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（二）竞得人有下列行为之一的，竞得结果无效；造成损失的，应当依法承担赔偿责任，且所缴纳的竞买保证金和交易服务费不予退还：</w:t>
      </w:r>
    </w:p>
    <w:p w14:paraId="0105092D">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1．提供虚假文件隐瞒事实的；</w:t>
      </w:r>
    </w:p>
    <w:p w14:paraId="1E91E63B">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2．采取行贿、恶意串通等非法手段竞得的；</w:t>
      </w:r>
    </w:p>
    <w:p w14:paraId="3FB7BECC">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3．存在伪造公文骗取用地和非法倒卖土地等犯罪行为，或非法转让土地使用权等违法行为的；</w:t>
      </w:r>
    </w:p>
    <w:p w14:paraId="3846208C">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4．曾因自身原因造成土地闲置一年以上的；</w:t>
      </w:r>
    </w:p>
    <w:p w14:paraId="2AC8D2F1">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仿宋_GB2312"/>
          <w:sz w:val="32"/>
          <w:szCs w:val="32"/>
        </w:rPr>
      </w:pPr>
      <w:r>
        <w:rPr>
          <w:rFonts w:eastAsia="仿宋_GB2312"/>
          <w:sz w:val="32"/>
          <w:szCs w:val="32"/>
        </w:rPr>
        <w:t>5．曾违背《国有建设用地使用权出让合同》约定条件开发利用土地的。</w:t>
      </w:r>
    </w:p>
    <w:p w14:paraId="157F6CB2">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（三）挂牌不成交的，按相关规定重新组织交易。</w:t>
      </w:r>
    </w:p>
    <w:p w14:paraId="044AD5CE">
      <w:pPr>
        <w:keepNext w:val="0"/>
        <w:keepLines w:val="0"/>
        <w:pageBreakBefore w:val="0"/>
        <w:kinsoku/>
        <w:wordWrap/>
        <w:overflowPunct/>
        <w:topLinePunct w:val="0"/>
        <w:autoSpaceDE/>
        <w:autoSpaceDN/>
        <w:bidi w:val="0"/>
        <w:adjustRightInd w:val="0"/>
        <w:snapToGrid/>
        <w:spacing w:line="520" w:lineRule="exact"/>
        <w:ind w:firstLine="643" w:firstLineChars="200"/>
        <w:textAlignment w:val="auto"/>
        <w:rPr>
          <w:rFonts w:eastAsia="楷体_GB2312"/>
          <w:b/>
          <w:sz w:val="32"/>
          <w:szCs w:val="32"/>
        </w:rPr>
      </w:pPr>
      <w:r>
        <w:rPr>
          <w:rFonts w:eastAsia="楷体_GB2312"/>
          <w:b/>
          <w:sz w:val="32"/>
          <w:szCs w:val="32"/>
        </w:rPr>
        <w:t>（四）竞买人必须遵守挂牌活动的相关规定，不得阻挠其他竞买人报价，不得阻碍挂牌主持人进行正常的挂牌工作，否则将取消其竞买资格，并依法追究其责任。</w:t>
      </w:r>
    </w:p>
    <w:p w14:paraId="27D18721">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黑体"/>
          <w:bCs/>
          <w:sz w:val="32"/>
          <w:szCs w:val="32"/>
        </w:rPr>
      </w:pPr>
      <w:r>
        <w:rPr>
          <w:rFonts w:eastAsia="黑体"/>
          <w:bCs/>
          <w:sz w:val="32"/>
          <w:szCs w:val="32"/>
        </w:rPr>
        <w:t>二十三、国有建设用地使用权挂牌全程中引发的争议或纠纷，提请乐山仲裁委员会仲裁。</w:t>
      </w:r>
    </w:p>
    <w:p w14:paraId="21EDC71E">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黑体"/>
          <w:bCs/>
          <w:sz w:val="32"/>
          <w:szCs w:val="32"/>
        </w:rPr>
      </w:pPr>
      <w:r>
        <w:rPr>
          <w:rFonts w:eastAsia="黑体"/>
          <w:bCs/>
          <w:sz w:val="32"/>
          <w:szCs w:val="32"/>
        </w:rPr>
        <w:t>二十四、国有建设用地使用权挂牌出让存在终止、中止和延期交易的情况，竞买人应随时关注公告信息。国有建设用地使用权挂牌出让未尽事宜依照有关规定办理。</w:t>
      </w:r>
    </w:p>
    <w:p w14:paraId="774A7E7D">
      <w:pPr>
        <w:pStyle w:val="43"/>
        <w:keepNext w:val="0"/>
        <w:keepLines w:val="0"/>
        <w:pageBreakBefore w:val="0"/>
        <w:kinsoku/>
        <w:wordWrap/>
        <w:overflowPunct/>
        <w:topLinePunct w:val="0"/>
        <w:autoSpaceDE/>
        <w:autoSpaceDN/>
        <w:bidi w:val="0"/>
        <w:snapToGrid/>
        <w:spacing w:line="520" w:lineRule="exact"/>
        <w:ind w:firstLine="640" w:firstLineChars="200"/>
        <w:textAlignment w:val="auto"/>
        <w:rPr>
          <w:rFonts w:ascii="Times New Roman" w:eastAsia="黑体"/>
        </w:rPr>
      </w:pPr>
      <w:r>
        <w:rPr>
          <w:rFonts w:ascii="Times New Roman" w:eastAsia="黑体"/>
        </w:rPr>
        <w:t>二十五、编制挂牌文件主要依据</w:t>
      </w:r>
    </w:p>
    <w:p w14:paraId="22001809">
      <w:pPr>
        <w:keepNext w:val="0"/>
        <w:keepLines w:val="0"/>
        <w:pageBreakBefore w:val="0"/>
        <w:widowControl w:val="0"/>
        <w:kinsoku/>
        <w:wordWrap/>
        <w:overflowPunct/>
        <w:topLinePunct w:val="0"/>
        <w:autoSpaceDE/>
        <w:autoSpaceDN/>
        <w:bidi w:val="0"/>
        <w:adjustRightInd w:val="0"/>
        <w:snapToGrid/>
        <w:spacing w:line="480" w:lineRule="exact"/>
        <w:ind w:left="638" w:leftChars="304" w:firstLine="0" w:firstLineChars="0"/>
        <w:textAlignment w:val="auto"/>
        <w:rPr>
          <w:rFonts w:eastAsia="仿宋_GB2312"/>
          <w:spacing w:val="-2"/>
          <w:sz w:val="32"/>
          <w:szCs w:val="32"/>
        </w:rPr>
      </w:pPr>
      <w:r>
        <w:rPr>
          <w:rFonts w:eastAsia="仿宋_GB2312"/>
          <w:spacing w:val="-2"/>
          <w:sz w:val="32"/>
          <w:szCs w:val="32"/>
        </w:rPr>
        <w:t>（一）中华人民共和国土地管理法</w:t>
      </w:r>
      <w:r>
        <w:rPr>
          <w:rFonts w:eastAsia="仿宋_GB2312"/>
          <w:spacing w:val="-2"/>
          <w:sz w:val="32"/>
          <w:szCs w:val="32"/>
        </w:rPr>
        <w:br w:type="textWrapping"/>
      </w:r>
      <w:r>
        <w:rPr>
          <w:rFonts w:eastAsia="仿宋_GB2312"/>
          <w:spacing w:val="-2"/>
          <w:sz w:val="32"/>
          <w:szCs w:val="32"/>
        </w:rPr>
        <w:t>（二）中华人民共和国城市房地产管理法</w:t>
      </w:r>
      <w:r>
        <w:rPr>
          <w:rFonts w:eastAsia="仿宋_GB2312"/>
          <w:spacing w:val="-2"/>
          <w:sz w:val="32"/>
          <w:szCs w:val="32"/>
        </w:rPr>
        <w:br w:type="textWrapping"/>
      </w:r>
      <w:r>
        <w:rPr>
          <w:rFonts w:eastAsia="仿宋_GB2312"/>
          <w:spacing w:val="-2"/>
          <w:sz w:val="32"/>
          <w:szCs w:val="32"/>
        </w:rPr>
        <w:t>（三）中华人民共和国城镇国有土地使用权出让和转让暂行条例（中华人民共和国国务院令第55号）</w:t>
      </w:r>
      <w:r>
        <w:rPr>
          <w:rFonts w:eastAsia="仿宋_GB2312"/>
          <w:spacing w:val="-2"/>
          <w:sz w:val="32"/>
          <w:szCs w:val="32"/>
        </w:rPr>
        <w:br w:type="textWrapping"/>
      </w:r>
      <w:r>
        <w:rPr>
          <w:rFonts w:eastAsia="仿宋_GB2312"/>
          <w:spacing w:val="-2"/>
          <w:sz w:val="32"/>
          <w:szCs w:val="32"/>
        </w:rPr>
        <w:t>（四）招标拍卖挂牌出让国有建设用地使用权规定（中华人民共和国国土资源部令第39号）</w:t>
      </w:r>
      <w:r>
        <w:rPr>
          <w:rFonts w:eastAsia="仿宋_GB2312"/>
          <w:spacing w:val="-2"/>
          <w:sz w:val="32"/>
          <w:szCs w:val="32"/>
        </w:rPr>
        <w:br w:type="textWrapping"/>
      </w:r>
      <w:r>
        <w:rPr>
          <w:rFonts w:eastAsia="仿宋_GB2312"/>
          <w:spacing w:val="-2"/>
          <w:sz w:val="32"/>
          <w:szCs w:val="32"/>
        </w:rPr>
        <w:t>（五）国土资源部关于印发《招标拍卖挂牌出让国有土地使用权规范》（试行）和《协议出让国有土地使用权规范》（试行）的通知（国土资发〔2006〕114号）</w:t>
      </w:r>
      <w:r>
        <w:rPr>
          <w:rFonts w:eastAsia="仿宋_GB2312"/>
          <w:spacing w:val="-2"/>
          <w:sz w:val="32"/>
          <w:szCs w:val="32"/>
        </w:rPr>
        <w:br w:type="textWrapping"/>
      </w:r>
      <w:r>
        <w:rPr>
          <w:rFonts w:eastAsia="仿宋_GB2312"/>
          <w:spacing w:val="-2"/>
          <w:sz w:val="32"/>
          <w:szCs w:val="32"/>
        </w:rPr>
        <w:t>（六）国土资源部关于加强房地产用地供应和监管有关问题的通知（国土资发〔2010〕34号）</w:t>
      </w:r>
      <w:r>
        <w:rPr>
          <w:rFonts w:eastAsia="仿宋_GB2312"/>
          <w:spacing w:val="-2"/>
          <w:sz w:val="32"/>
          <w:szCs w:val="32"/>
        </w:rPr>
        <w:br w:type="textWrapping"/>
      </w:r>
      <w:r>
        <w:rPr>
          <w:rFonts w:eastAsia="仿宋_GB2312"/>
          <w:spacing w:val="-2"/>
          <w:sz w:val="32"/>
          <w:szCs w:val="32"/>
        </w:rPr>
        <w:t>（七）国土资源部、住房和城乡建设部关于进一步加强房地产用地和建设管理调控的通知（国土资发〔2010〕151号〕</w:t>
      </w:r>
      <w:r>
        <w:rPr>
          <w:rFonts w:eastAsia="仿宋_GB2312"/>
          <w:spacing w:val="-2"/>
          <w:sz w:val="32"/>
          <w:szCs w:val="32"/>
        </w:rPr>
        <w:br w:type="textWrapping"/>
      </w:r>
      <w:r>
        <w:rPr>
          <w:rFonts w:eastAsia="仿宋_GB2312"/>
          <w:spacing w:val="-2"/>
          <w:sz w:val="32"/>
          <w:szCs w:val="32"/>
        </w:rPr>
        <w:t>（</w:t>
      </w:r>
      <w:r>
        <w:rPr>
          <w:rFonts w:hint="eastAsia" w:eastAsia="仿宋_GB2312"/>
          <w:spacing w:val="-2"/>
          <w:sz w:val="32"/>
          <w:szCs w:val="32"/>
          <w:lang w:eastAsia="zh-CN"/>
        </w:rPr>
        <w:t>八</w:t>
      </w:r>
      <w:r>
        <w:rPr>
          <w:rFonts w:eastAsia="仿宋_GB2312"/>
          <w:spacing w:val="-2"/>
          <w:sz w:val="32"/>
          <w:szCs w:val="32"/>
        </w:rPr>
        <w:t>）乐山市发展和改革委员会转发《关于规范全省政务服务和资源交易服务中心服务收费的通知》的通知（乐发改价格〔2015〕84号）</w:t>
      </w:r>
      <w:r>
        <w:rPr>
          <w:rFonts w:eastAsia="仿宋_GB2312"/>
          <w:spacing w:val="-2"/>
          <w:sz w:val="32"/>
          <w:szCs w:val="32"/>
        </w:rPr>
        <w:br w:type="textWrapping"/>
      </w:r>
      <w:r>
        <w:rPr>
          <w:rFonts w:eastAsia="仿宋_GB2312"/>
          <w:spacing w:val="-2"/>
          <w:sz w:val="32"/>
          <w:szCs w:val="32"/>
        </w:rPr>
        <w:t>（</w:t>
      </w:r>
      <w:r>
        <w:rPr>
          <w:rFonts w:hint="eastAsia" w:eastAsia="仿宋_GB2312"/>
          <w:spacing w:val="-2"/>
          <w:sz w:val="32"/>
          <w:szCs w:val="32"/>
          <w:lang w:eastAsia="zh-CN"/>
        </w:rPr>
        <w:t>九</w:t>
      </w:r>
      <w:r>
        <w:rPr>
          <w:rFonts w:eastAsia="仿宋_GB2312"/>
          <w:spacing w:val="-2"/>
          <w:sz w:val="32"/>
          <w:szCs w:val="32"/>
        </w:rPr>
        <w:t>）</w:t>
      </w:r>
      <w:r>
        <w:rPr>
          <w:rFonts w:hint="eastAsia" w:eastAsia="仿宋_GB2312"/>
          <w:spacing w:val="-2"/>
          <w:sz w:val="32"/>
          <w:szCs w:val="32"/>
        </w:rPr>
        <w:t>乐山市自然资源和规划局关于印发《全市除工业用地外的国有建设用地使用权出让集中交易办法》的通知（乐市自然资规发[2023]164号〕</w:t>
      </w:r>
    </w:p>
    <w:p w14:paraId="516F8CEB">
      <w:pPr>
        <w:keepNext w:val="0"/>
        <w:keepLines w:val="0"/>
        <w:pageBreakBefore w:val="0"/>
        <w:kinsoku/>
        <w:wordWrap/>
        <w:overflowPunct/>
        <w:topLinePunct w:val="0"/>
        <w:autoSpaceDE/>
        <w:autoSpaceDN/>
        <w:bidi w:val="0"/>
        <w:adjustRightInd w:val="0"/>
        <w:snapToGrid/>
        <w:spacing w:line="520" w:lineRule="exact"/>
        <w:ind w:firstLine="640" w:firstLineChars="200"/>
        <w:textAlignment w:val="auto"/>
        <w:rPr>
          <w:rFonts w:eastAsia="黑体"/>
          <w:bCs/>
          <w:sz w:val="32"/>
          <w:szCs w:val="32"/>
        </w:rPr>
      </w:pPr>
      <w:r>
        <w:rPr>
          <w:rFonts w:eastAsia="黑体"/>
          <w:bCs/>
          <w:sz w:val="32"/>
          <w:szCs w:val="32"/>
        </w:rPr>
        <w:t>二十六、乐山市土地矿权交易中心对本挂牌文件有解释权。</w:t>
      </w:r>
    </w:p>
    <w:p w14:paraId="029ED620">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r>
        <w:rPr>
          <w:rFonts w:eastAsia="仿宋_GB2312"/>
          <w:sz w:val="32"/>
          <w:szCs w:val="32"/>
        </w:rPr>
        <w:t xml:space="preserve">联系电话：（0833）2442919  </w:t>
      </w:r>
    </w:p>
    <w:p w14:paraId="0FA4CDB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r>
        <w:rPr>
          <w:rFonts w:eastAsia="仿宋_GB2312"/>
          <w:sz w:val="32"/>
          <w:szCs w:val="32"/>
        </w:rPr>
        <w:t>传真：（0833）2442919</w:t>
      </w:r>
    </w:p>
    <w:p w14:paraId="416F9C16">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r>
        <w:rPr>
          <w:rFonts w:eastAsia="仿宋_GB2312"/>
          <w:sz w:val="32"/>
          <w:szCs w:val="32"/>
        </w:rPr>
        <w:t>地址：四川省乐山市市中区柏杨东路199号</w:t>
      </w:r>
      <w:r>
        <w:rPr>
          <w:rFonts w:hint="eastAsia" w:eastAsia="仿宋_GB2312"/>
          <w:sz w:val="32"/>
          <w:szCs w:val="32"/>
          <w:lang w:eastAsia="zh-CN"/>
        </w:rPr>
        <w:t>三</w:t>
      </w:r>
      <w:r>
        <w:rPr>
          <w:rFonts w:eastAsia="仿宋_GB2312"/>
          <w:sz w:val="32"/>
          <w:szCs w:val="32"/>
        </w:rPr>
        <w:t>楼</w:t>
      </w:r>
    </w:p>
    <w:p w14:paraId="6C78431C">
      <w:pPr>
        <w:spacing w:line="530" w:lineRule="exact"/>
        <w:ind w:firstLine="640" w:firstLineChars="200"/>
        <w:rPr>
          <w:rFonts w:hint="default" w:ascii="Times New Roman" w:hAnsi="Times New Roman" w:eastAsia="仿宋_GB2312" w:cs="Times New Roman"/>
          <w:sz w:val="32"/>
          <w:szCs w:val="32"/>
        </w:rPr>
      </w:pPr>
      <w:r>
        <w:rPr>
          <w:rFonts w:eastAsia="仿宋_GB2312"/>
          <w:sz w:val="32"/>
          <w:szCs w:val="32"/>
        </w:rPr>
        <w:t>网址：</w:t>
      </w:r>
      <w:r>
        <w:rPr>
          <w:rFonts w:hint="default" w:ascii="Times New Roman" w:hAnsi="Times New Roman" w:eastAsia="仿宋_GB2312" w:cs="Times New Roman"/>
          <w:spacing w:val="-6"/>
          <w:sz w:val="32"/>
          <w:szCs w:val="32"/>
          <w:lang w:val="en-US" w:eastAsia="zh-CN"/>
        </w:rPr>
        <w:t>https://szrzyhghj.leshan.gov.cn/sgtzyj/lstdkq/kq_index.shtml</w:t>
      </w:r>
    </w:p>
    <w:p w14:paraId="7B637835">
      <w:pPr>
        <w:keepNext w:val="0"/>
        <w:keepLines w:val="0"/>
        <w:pageBreakBefore w:val="0"/>
        <w:kinsoku/>
        <w:wordWrap/>
        <w:overflowPunct/>
        <w:topLinePunct w:val="0"/>
        <w:autoSpaceDE/>
        <w:autoSpaceDN/>
        <w:bidi w:val="0"/>
        <w:snapToGrid/>
        <w:spacing w:line="520" w:lineRule="exact"/>
        <w:ind w:firstLine="640" w:firstLineChars="200"/>
        <w:textAlignment w:val="auto"/>
        <w:rPr>
          <w:rFonts w:eastAsia="仿宋_GB2312"/>
          <w:sz w:val="32"/>
          <w:szCs w:val="32"/>
        </w:rPr>
      </w:pPr>
    </w:p>
    <w:p w14:paraId="730A82EE">
      <w:pPr>
        <w:spacing w:line="640" w:lineRule="exact"/>
        <w:rPr>
          <w:rFonts w:eastAsia="方正小标宋简体"/>
          <w:b/>
          <w:sz w:val="44"/>
          <w:szCs w:val="44"/>
        </w:rPr>
      </w:pPr>
    </w:p>
    <w:p w14:paraId="78D3492C">
      <w:pPr>
        <w:spacing w:line="640" w:lineRule="exact"/>
        <w:jc w:val="center"/>
        <w:rPr>
          <w:rFonts w:eastAsia="方正小标宋简体"/>
          <w:b/>
          <w:sz w:val="44"/>
          <w:szCs w:val="44"/>
        </w:rPr>
      </w:pPr>
    </w:p>
    <w:p w14:paraId="7425B10C">
      <w:pPr>
        <w:spacing w:line="640" w:lineRule="exact"/>
        <w:jc w:val="both"/>
        <w:rPr>
          <w:rFonts w:eastAsia="方正小标宋简体"/>
          <w:b/>
          <w:sz w:val="44"/>
          <w:szCs w:val="44"/>
        </w:rPr>
      </w:pPr>
    </w:p>
    <w:p w14:paraId="5C77C732">
      <w:pPr>
        <w:spacing w:line="640" w:lineRule="exact"/>
        <w:jc w:val="both"/>
        <w:rPr>
          <w:rFonts w:eastAsia="方正小标宋简体"/>
          <w:b/>
          <w:sz w:val="44"/>
          <w:szCs w:val="44"/>
        </w:rPr>
      </w:pPr>
    </w:p>
    <w:p w14:paraId="65D15895">
      <w:pPr>
        <w:spacing w:line="640" w:lineRule="exact"/>
        <w:jc w:val="both"/>
        <w:rPr>
          <w:rFonts w:eastAsia="方正小标宋简体"/>
          <w:b/>
          <w:sz w:val="44"/>
          <w:szCs w:val="44"/>
        </w:rPr>
      </w:pPr>
    </w:p>
    <w:p w14:paraId="6A9CEF3E">
      <w:pPr>
        <w:spacing w:line="640" w:lineRule="exact"/>
        <w:jc w:val="both"/>
        <w:rPr>
          <w:rFonts w:eastAsia="方正小标宋简体"/>
          <w:b/>
          <w:sz w:val="44"/>
          <w:szCs w:val="44"/>
        </w:rPr>
      </w:pPr>
    </w:p>
    <w:p w14:paraId="5B36A6E8">
      <w:pPr>
        <w:spacing w:line="640" w:lineRule="exact"/>
        <w:jc w:val="both"/>
        <w:rPr>
          <w:rFonts w:eastAsia="方正小标宋简体"/>
          <w:b/>
          <w:sz w:val="44"/>
          <w:szCs w:val="44"/>
        </w:rPr>
      </w:pPr>
    </w:p>
    <w:p w14:paraId="47AE0AC2">
      <w:pPr>
        <w:spacing w:line="640" w:lineRule="exact"/>
        <w:jc w:val="both"/>
        <w:rPr>
          <w:rFonts w:eastAsia="方正小标宋简体"/>
          <w:b/>
          <w:sz w:val="44"/>
          <w:szCs w:val="44"/>
        </w:rPr>
      </w:pPr>
    </w:p>
    <w:p w14:paraId="41389AAC">
      <w:pPr>
        <w:spacing w:line="640" w:lineRule="exact"/>
        <w:jc w:val="both"/>
        <w:rPr>
          <w:rFonts w:eastAsia="方正小标宋简体"/>
          <w:b/>
          <w:sz w:val="44"/>
          <w:szCs w:val="44"/>
        </w:rPr>
      </w:pPr>
    </w:p>
    <w:p w14:paraId="794AE13F">
      <w:pPr>
        <w:spacing w:line="640" w:lineRule="exact"/>
        <w:jc w:val="both"/>
        <w:rPr>
          <w:rFonts w:eastAsia="方正小标宋简体"/>
          <w:b/>
          <w:sz w:val="44"/>
          <w:szCs w:val="44"/>
        </w:rPr>
      </w:pPr>
    </w:p>
    <w:p w14:paraId="2972F29E">
      <w:pPr>
        <w:spacing w:line="640" w:lineRule="exact"/>
        <w:jc w:val="center"/>
        <w:rPr>
          <w:rFonts w:eastAsia="方正小标宋简体"/>
          <w:b/>
          <w:sz w:val="44"/>
          <w:szCs w:val="44"/>
        </w:rPr>
      </w:pPr>
      <w:r>
        <w:rPr>
          <w:rFonts w:eastAsia="方正小标宋简体"/>
          <w:b/>
          <w:sz w:val="44"/>
          <w:szCs w:val="44"/>
        </w:rPr>
        <w:t>竞买申请书</w:t>
      </w:r>
    </w:p>
    <w:p w14:paraId="690867C4">
      <w:pPr>
        <w:spacing w:line="640" w:lineRule="exact"/>
        <w:jc w:val="center"/>
        <w:rPr>
          <w:rFonts w:eastAsia="华文中宋"/>
          <w:b/>
          <w:sz w:val="44"/>
          <w:szCs w:val="44"/>
        </w:rPr>
      </w:pPr>
    </w:p>
    <w:p w14:paraId="6D0CAA8D">
      <w:pPr>
        <w:spacing w:line="640" w:lineRule="exact"/>
        <w:rPr>
          <w:rFonts w:eastAsia="仿宋_GB2312"/>
          <w:sz w:val="32"/>
          <w:szCs w:val="32"/>
        </w:rPr>
      </w:pPr>
      <w:r>
        <w:rPr>
          <w:rFonts w:eastAsia="仿宋_GB2312"/>
          <w:sz w:val="32"/>
          <w:szCs w:val="32"/>
        </w:rPr>
        <w:t>乐山市土地矿权交易中心：</w:t>
      </w:r>
    </w:p>
    <w:p w14:paraId="4104A3BB">
      <w:pPr>
        <w:spacing w:line="640" w:lineRule="exact"/>
        <w:ind w:firstLine="640" w:firstLineChars="200"/>
        <w:jc w:val="left"/>
        <w:rPr>
          <w:rFonts w:eastAsia="仿宋_GB2312"/>
          <w:sz w:val="32"/>
          <w:szCs w:val="32"/>
        </w:rPr>
      </w:pPr>
      <w:r>
        <w:rPr>
          <w:rFonts w:eastAsia="仿宋_GB2312"/>
          <w:sz w:val="32"/>
          <w:szCs w:val="32"/>
        </w:rPr>
        <w:t>我方认真审阅贵中心定于20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w:t>
      </w:r>
      <w:r>
        <w:rPr>
          <w:rFonts w:hint="eastAsia" w:eastAsia="仿宋_GB2312"/>
          <w:sz w:val="32"/>
          <w:szCs w:val="32"/>
          <w:lang w:val="en-US" w:eastAsia="zh-CN"/>
        </w:rPr>
        <w:t>9</w:t>
      </w:r>
      <w:r>
        <w:rPr>
          <w:rFonts w:eastAsia="仿宋_GB2312"/>
          <w:sz w:val="32"/>
          <w:szCs w:val="32"/>
        </w:rPr>
        <w:t>月</w:t>
      </w:r>
      <w:r>
        <w:rPr>
          <w:rFonts w:hint="eastAsia" w:eastAsia="仿宋_GB2312"/>
          <w:sz w:val="32"/>
          <w:szCs w:val="32"/>
          <w:lang w:val="en-US" w:eastAsia="zh-CN"/>
        </w:rPr>
        <w:t>23</w:t>
      </w:r>
      <w:r>
        <w:rPr>
          <w:rFonts w:eastAsia="仿宋_GB2312"/>
          <w:sz w:val="32"/>
          <w:szCs w:val="32"/>
        </w:rPr>
        <w:t>日09:00起至20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w:t>
      </w:r>
      <w:r>
        <w:rPr>
          <w:rFonts w:hint="eastAsia" w:eastAsia="仿宋_GB2312"/>
          <w:sz w:val="32"/>
          <w:szCs w:val="32"/>
          <w:lang w:val="en-US" w:eastAsia="zh-CN"/>
        </w:rPr>
        <w:t>10</w:t>
      </w:r>
      <w:r>
        <w:rPr>
          <w:rFonts w:eastAsia="仿宋_GB2312"/>
          <w:sz w:val="32"/>
          <w:szCs w:val="32"/>
        </w:rPr>
        <w:t>月</w:t>
      </w:r>
      <w:r>
        <w:rPr>
          <w:rFonts w:hint="eastAsia" w:eastAsia="仿宋_GB2312"/>
          <w:sz w:val="32"/>
          <w:szCs w:val="32"/>
          <w:lang w:val="en-US" w:eastAsia="zh-CN"/>
        </w:rPr>
        <w:t>16</w:t>
      </w:r>
      <w:r>
        <w:rPr>
          <w:rFonts w:eastAsia="仿宋_GB2312"/>
          <w:sz w:val="32"/>
          <w:szCs w:val="32"/>
        </w:rPr>
        <w:t>日10:00止</w:t>
      </w:r>
      <w:r>
        <w:rPr>
          <w:rFonts w:hint="eastAsia" w:eastAsia="仿宋_GB2312"/>
          <w:sz w:val="32"/>
          <w:szCs w:val="32"/>
        </w:rPr>
        <w:t>（节假日除外）</w:t>
      </w:r>
      <w:r>
        <w:rPr>
          <w:rFonts w:eastAsia="仿宋_GB2312"/>
          <w:sz w:val="32"/>
          <w:szCs w:val="32"/>
        </w:rPr>
        <w:t>公开挂牌出让的</w:t>
      </w:r>
      <w:r>
        <w:rPr>
          <w:rFonts w:hint="eastAsia" w:eastAsia="仿宋_GB2312"/>
          <w:sz w:val="32"/>
          <w:szCs w:val="32"/>
        </w:rPr>
        <w:t>《乐山市市中</w:t>
      </w:r>
      <w:r>
        <w:rPr>
          <w:rFonts w:hint="eastAsia" w:ascii="Times New Roman" w:hAnsi="Times New Roman" w:eastAsia="仿宋_GB2312" w:cs="Times New Roman"/>
          <w:sz w:val="32"/>
          <w:szCs w:val="32"/>
        </w:rPr>
        <w:t>区</w:t>
      </w:r>
      <w:r>
        <w:rPr>
          <w:rFonts w:hint="eastAsia" w:ascii="Times New Roman" w:hAnsi="Times New Roman" w:eastAsia="仿宋_GB2312" w:cs="Times New Roman"/>
          <w:sz w:val="32"/>
          <w:szCs w:val="32"/>
          <w:lang w:val="en-US" w:eastAsia="zh-CN"/>
        </w:rPr>
        <w:t>[乐中挂〔202</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号]</w:t>
      </w:r>
      <w:r>
        <w:rPr>
          <w:rFonts w:hint="eastAsia" w:ascii="Times New Roman" w:hAnsi="Times New Roman" w:eastAsia="仿宋_GB2312" w:cs="Times New Roman"/>
          <w:sz w:val="32"/>
          <w:szCs w:val="32"/>
        </w:rPr>
        <w:t>地</w:t>
      </w:r>
      <w:r>
        <w:rPr>
          <w:rFonts w:hint="eastAsia" w:eastAsia="仿宋_GB2312"/>
          <w:sz w:val="32"/>
          <w:szCs w:val="32"/>
        </w:rPr>
        <w:t>块国有建设用地使用权出让挂牌文件》</w:t>
      </w:r>
      <w:r>
        <w:rPr>
          <w:rFonts w:eastAsia="仿宋_GB2312"/>
          <w:sz w:val="32"/>
          <w:szCs w:val="32"/>
        </w:rPr>
        <w:t>，并实地踏勘后，对挂牌文件的要求和规定、《国有建设用地使用权出让合同》、地块现状以及规划设计条件等无异议，已充分认可、完全理解、自愿接受本挂牌文件内容，并自愿履行相关责任及义务。我方现正式申请参加该宗地块的竞买，并愿意为此支付竞买保证金：人民币</w:t>
      </w:r>
      <w:r>
        <w:rPr>
          <w:rFonts w:hint="eastAsia" w:eastAsia="仿宋_GB2312"/>
          <w:sz w:val="32"/>
          <w:szCs w:val="32"/>
          <w:lang w:val="en-US" w:eastAsia="zh-CN"/>
        </w:rPr>
        <w:t>174</w:t>
      </w:r>
      <w:r>
        <w:rPr>
          <w:rFonts w:eastAsia="仿宋_GB2312"/>
          <w:sz w:val="32"/>
          <w:szCs w:val="32"/>
        </w:rPr>
        <w:t>万元。</w:t>
      </w:r>
    </w:p>
    <w:p w14:paraId="4A2AF888">
      <w:pPr>
        <w:spacing w:line="640" w:lineRule="exact"/>
        <w:ind w:firstLine="640" w:firstLineChars="200"/>
        <w:rPr>
          <w:rFonts w:eastAsia="仿宋_GB2312"/>
          <w:sz w:val="32"/>
          <w:szCs w:val="32"/>
        </w:rPr>
      </w:pPr>
      <w:r>
        <w:rPr>
          <w:rFonts w:eastAsia="仿宋_GB2312"/>
          <w:sz w:val="32"/>
          <w:szCs w:val="32"/>
        </w:rPr>
        <w:t>若我方注册成立新公司进行开发，将在办理不动产物权登记前完成新公司的设立，新公司出资构成为：</w:t>
      </w:r>
      <w:r>
        <w:rPr>
          <w:rFonts w:eastAsia="仿宋_GB2312"/>
          <w:sz w:val="32"/>
          <w:szCs w:val="32"/>
          <w:u w:val="single"/>
        </w:rPr>
        <w:t xml:space="preserve">                               </w:t>
      </w:r>
      <w:r>
        <w:rPr>
          <w:rFonts w:eastAsia="仿宋_GB2312"/>
          <w:sz w:val="32"/>
          <w:szCs w:val="32"/>
        </w:rPr>
        <w:t>。若能竞得该宗地块，未能在与出让</w:t>
      </w:r>
      <w:r>
        <w:rPr>
          <w:rFonts w:hint="eastAsia" w:eastAsia="仿宋_GB2312"/>
          <w:sz w:val="32"/>
          <w:szCs w:val="32"/>
        </w:rPr>
        <w:t>方</w:t>
      </w:r>
      <w:r>
        <w:rPr>
          <w:rFonts w:eastAsia="仿宋_GB2312"/>
          <w:sz w:val="32"/>
          <w:szCs w:val="32"/>
        </w:rPr>
        <w:t>签订《国有建设用地使用权出让合同》前完成新公司的注册登记手续，则由我方先与出让方签订《国有建设用地使用权出让合同》，待完成新公司注册登记手续后再与出让方签订《国有建设用地使用权出让合同变更协议》。</w:t>
      </w:r>
    </w:p>
    <w:p w14:paraId="6CC3AC8E">
      <w:pPr>
        <w:spacing w:line="640" w:lineRule="exact"/>
        <w:ind w:firstLine="640" w:firstLineChars="200"/>
        <w:rPr>
          <w:rFonts w:eastAsia="仿宋_GB2312"/>
          <w:sz w:val="32"/>
          <w:szCs w:val="32"/>
        </w:rPr>
      </w:pPr>
      <w:r>
        <w:rPr>
          <w:rFonts w:eastAsia="仿宋_GB2312"/>
          <w:sz w:val="32"/>
          <w:szCs w:val="32"/>
        </w:rPr>
        <w:t>若能竞得该宗地块，我方保证按照挂牌文件的规定和要求履行全部义务。若我方在挂牌活动中，出现不能按期付款或有其他违约行为，我方愿意承担法律责任，并赔偿由此产生的损失。</w:t>
      </w:r>
    </w:p>
    <w:p w14:paraId="3422396F">
      <w:pPr>
        <w:spacing w:line="640" w:lineRule="exact"/>
        <w:ind w:firstLine="640" w:firstLineChars="200"/>
        <w:rPr>
          <w:rFonts w:eastAsia="仿宋_GB2312"/>
          <w:sz w:val="32"/>
          <w:szCs w:val="32"/>
        </w:rPr>
      </w:pPr>
      <w:r>
        <w:rPr>
          <w:rFonts w:eastAsia="仿宋_GB2312"/>
          <w:sz w:val="32"/>
          <w:szCs w:val="32"/>
        </w:rPr>
        <w:t>特此申请。</w:t>
      </w:r>
    </w:p>
    <w:p w14:paraId="27B72E5E">
      <w:pPr>
        <w:spacing w:line="640" w:lineRule="exact"/>
        <w:ind w:firstLine="640" w:firstLineChars="200"/>
        <w:jc w:val="left"/>
        <w:rPr>
          <w:rFonts w:eastAsia="仿宋_GB2312"/>
          <w:sz w:val="32"/>
          <w:szCs w:val="32"/>
        </w:rPr>
      </w:pPr>
      <w:r>
        <w:rPr>
          <w:rFonts w:eastAsia="仿宋_GB2312"/>
          <w:sz w:val="32"/>
          <w:szCs w:val="32"/>
        </w:rPr>
        <w:t xml:space="preserve">附：1．统一社会信用代码复印件□        </w:t>
      </w:r>
    </w:p>
    <w:p w14:paraId="23530FF1">
      <w:pPr>
        <w:spacing w:line="640" w:lineRule="exact"/>
        <w:ind w:firstLine="640" w:firstLineChars="200"/>
        <w:jc w:val="left"/>
        <w:rPr>
          <w:rFonts w:eastAsia="仿宋_GB2312"/>
          <w:sz w:val="32"/>
          <w:szCs w:val="32"/>
        </w:rPr>
      </w:pPr>
      <w:r>
        <w:rPr>
          <w:rFonts w:eastAsia="仿宋_GB2312"/>
          <w:sz w:val="32"/>
          <w:szCs w:val="32"/>
        </w:rPr>
        <w:t>2．法定代表人（或自然人）身份证复印件□</w:t>
      </w:r>
    </w:p>
    <w:p w14:paraId="0766742F">
      <w:pPr>
        <w:spacing w:line="640" w:lineRule="exact"/>
        <w:ind w:firstLine="640" w:firstLineChars="200"/>
        <w:jc w:val="left"/>
        <w:rPr>
          <w:rFonts w:eastAsia="仿宋_GB2312"/>
          <w:sz w:val="32"/>
          <w:szCs w:val="32"/>
        </w:rPr>
      </w:pPr>
      <w:r>
        <w:rPr>
          <w:rFonts w:eastAsia="仿宋_GB2312"/>
          <w:sz w:val="32"/>
          <w:szCs w:val="32"/>
        </w:rPr>
        <w:t xml:space="preserve">3．法人授权委托书原件□   4．委托代理人的身份复印件□    </w:t>
      </w:r>
    </w:p>
    <w:p w14:paraId="6BAFC79F">
      <w:pPr>
        <w:spacing w:line="640" w:lineRule="exact"/>
        <w:ind w:firstLine="640" w:firstLineChars="200"/>
        <w:jc w:val="left"/>
        <w:rPr>
          <w:rFonts w:eastAsia="仿宋_GB2312"/>
          <w:sz w:val="32"/>
          <w:szCs w:val="32"/>
        </w:rPr>
      </w:pPr>
      <w:r>
        <w:rPr>
          <w:rFonts w:eastAsia="仿宋_GB2312"/>
          <w:sz w:val="32"/>
          <w:szCs w:val="32"/>
        </w:rPr>
        <w:t xml:space="preserve">5．竞买保证金交款凭据□   6．联合竞买协议原件□           </w:t>
      </w:r>
    </w:p>
    <w:p w14:paraId="0F636EFD">
      <w:pPr>
        <w:spacing w:line="640" w:lineRule="exact"/>
        <w:ind w:firstLine="640" w:firstLineChars="200"/>
        <w:jc w:val="left"/>
        <w:rPr>
          <w:rFonts w:eastAsia="仿宋_GB2312"/>
          <w:sz w:val="32"/>
          <w:szCs w:val="32"/>
        </w:rPr>
      </w:pPr>
      <w:r>
        <w:rPr>
          <w:rFonts w:eastAsia="仿宋_GB2312"/>
          <w:sz w:val="32"/>
          <w:szCs w:val="32"/>
        </w:rPr>
        <w:t xml:space="preserve">7．其他：           </w:t>
      </w:r>
    </w:p>
    <w:p w14:paraId="5EE35E8C">
      <w:pPr>
        <w:spacing w:line="640" w:lineRule="exact"/>
        <w:ind w:firstLine="640" w:firstLineChars="200"/>
        <w:jc w:val="left"/>
        <w:rPr>
          <w:rFonts w:eastAsia="黑体"/>
          <w:sz w:val="32"/>
          <w:szCs w:val="32"/>
        </w:rPr>
      </w:pPr>
      <w:r>
        <w:rPr>
          <w:rFonts w:eastAsia="黑体"/>
          <w:sz w:val="32"/>
          <w:szCs w:val="32"/>
        </w:rPr>
        <w:t>备注：请在提交的申请文件□内打√</w:t>
      </w:r>
    </w:p>
    <w:p w14:paraId="4082BCEF">
      <w:pPr>
        <w:spacing w:line="640" w:lineRule="exact"/>
        <w:rPr>
          <w:rFonts w:eastAsia="仿宋_GB2312"/>
          <w:sz w:val="32"/>
          <w:szCs w:val="32"/>
        </w:rPr>
      </w:pPr>
    </w:p>
    <w:p w14:paraId="74731F9B">
      <w:pPr>
        <w:spacing w:line="640" w:lineRule="exact"/>
        <w:ind w:firstLine="3520" w:firstLineChars="1100"/>
        <w:rPr>
          <w:rFonts w:eastAsia="仿宋_GB2312"/>
          <w:sz w:val="32"/>
          <w:szCs w:val="32"/>
        </w:rPr>
      </w:pPr>
      <w:r>
        <w:rPr>
          <w:rFonts w:eastAsia="仿宋_GB2312"/>
          <w:sz w:val="32"/>
          <w:szCs w:val="32"/>
        </w:rPr>
        <w:t>竞买申请人（盖章）：</w:t>
      </w:r>
    </w:p>
    <w:p w14:paraId="6B3B17AA">
      <w:pPr>
        <w:spacing w:line="640" w:lineRule="exact"/>
        <w:ind w:firstLine="3520" w:firstLineChars="1100"/>
        <w:rPr>
          <w:rFonts w:eastAsia="仿宋_GB2312"/>
          <w:sz w:val="32"/>
          <w:szCs w:val="32"/>
        </w:rPr>
      </w:pPr>
      <w:r>
        <w:rPr>
          <w:rFonts w:eastAsia="仿宋_GB2312"/>
          <w:sz w:val="32"/>
          <w:szCs w:val="32"/>
        </w:rPr>
        <w:t>法定代表人（受托人）：</w:t>
      </w:r>
    </w:p>
    <w:p w14:paraId="19CFA6B8">
      <w:pPr>
        <w:spacing w:line="640" w:lineRule="exact"/>
        <w:ind w:firstLine="3520" w:firstLineChars="1100"/>
        <w:rPr>
          <w:rFonts w:eastAsia="仿宋_GB2312"/>
          <w:sz w:val="32"/>
          <w:szCs w:val="32"/>
        </w:rPr>
      </w:pPr>
      <w:r>
        <w:rPr>
          <w:rFonts w:eastAsia="仿宋_GB2312"/>
          <w:sz w:val="32"/>
          <w:szCs w:val="32"/>
        </w:rPr>
        <w:t xml:space="preserve">联系人：       </w:t>
      </w:r>
    </w:p>
    <w:p w14:paraId="59921D21">
      <w:pPr>
        <w:spacing w:line="640" w:lineRule="exact"/>
        <w:ind w:firstLine="3520" w:firstLineChars="1100"/>
        <w:rPr>
          <w:rFonts w:eastAsia="仿宋_GB2312"/>
          <w:sz w:val="32"/>
          <w:szCs w:val="32"/>
        </w:rPr>
      </w:pPr>
      <w:r>
        <w:rPr>
          <w:rFonts w:eastAsia="仿宋_GB2312"/>
          <w:sz w:val="32"/>
          <w:szCs w:val="32"/>
        </w:rPr>
        <w:t>联系电话：</w:t>
      </w:r>
    </w:p>
    <w:p w14:paraId="325BEF60">
      <w:pPr>
        <w:spacing w:line="640" w:lineRule="exact"/>
        <w:ind w:firstLine="3520" w:firstLineChars="1100"/>
        <w:rPr>
          <w:rFonts w:eastAsia="仿宋_GB2312"/>
          <w:sz w:val="32"/>
          <w:szCs w:val="32"/>
        </w:rPr>
      </w:pPr>
      <w:r>
        <w:rPr>
          <w:rFonts w:eastAsia="仿宋_GB2312"/>
          <w:sz w:val="32"/>
          <w:szCs w:val="32"/>
        </w:rPr>
        <w:t>单位地址：</w:t>
      </w:r>
    </w:p>
    <w:p w14:paraId="546788A0">
      <w:pPr>
        <w:spacing w:line="640" w:lineRule="exact"/>
        <w:ind w:firstLine="3680" w:firstLineChars="1150"/>
        <w:rPr>
          <w:rFonts w:eastAsia="仿宋_GB2312"/>
          <w:sz w:val="32"/>
          <w:szCs w:val="32"/>
        </w:rPr>
      </w:pPr>
    </w:p>
    <w:p w14:paraId="281F6692">
      <w:pPr>
        <w:spacing w:line="640" w:lineRule="exact"/>
        <w:ind w:firstLine="4480" w:firstLineChars="1400"/>
        <w:rPr>
          <w:rFonts w:eastAsia="仿宋_GB2312"/>
          <w:sz w:val="32"/>
          <w:szCs w:val="32"/>
        </w:rPr>
      </w:pPr>
      <w:r>
        <w:rPr>
          <w:rFonts w:eastAsia="仿宋_GB2312"/>
          <w:sz w:val="32"/>
          <w:szCs w:val="32"/>
        </w:rPr>
        <w:t>年    月    日</w:t>
      </w:r>
    </w:p>
    <w:p w14:paraId="3DC18E14">
      <w:pPr>
        <w:spacing w:line="640" w:lineRule="exact"/>
        <w:ind w:right="-42" w:rightChars="-20"/>
        <w:rPr>
          <w:rFonts w:eastAsia="方正小标宋简体"/>
          <w:b/>
          <w:sz w:val="44"/>
          <w:szCs w:val="44"/>
        </w:rPr>
      </w:pPr>
    </w:p>
    <w:p w14:paraId="148513BF">
      <w:pPr>
        <w:spacing w:line="640" w:lineRule="exact"/>
        <w:ind w:right="-42" w:rightChars="-20"/>
        <w:rPr>
          <w:rFonts w:eastAsia="方正小标宋简体"/>
          <w:b/>
          <w:sz w:val="44"/>
          <w:szCs w:val="44"/>
        </w:rPr>
      </w:pPr>
    </w:p>
    <w:p w14:paraId="3865C72F">
      <w:pPr>
        <w:spacing w:line="540" w:lineRule="exact"/>
        <w:rPr>
          <w:rFonts w:eastAsia="方正小标宋简体"/>
          <w:b/>
          <w:sz w:val="44"/>
          <w:szCs w:val="44"/>
        </w:rPr>
      </w:pPr>
    </w:p>
    <w:p w14:paraId="49889C30">
      <w:pPr>
        <w:spacing w:line="540" w:lineRule="exact"/>
        <w:rPr>
          <w:rFonts w:eastAsia="方正小标宋简体"/>
          <w:b/>
          <w:sz w:val="44"/>
          <w:szCs w:val="44"/>
        </w:rPr>
      </w:pPr>
    </w:p>
    <w:p w14:paraId="5E8C8003">
      <w:pPr>
        <w:spacing w:line="540" w:lineRule="exact"/>
        <w:jc w:val="center"/>
        <w:rPr>
          <w:rFonts w:eastAsia="方正小标宋简体"/>
          <w:b/>
          <w:sz w:val="44"/>
          <w:szCs w:val="44"/>
        </w:rPr>
      </w:pPr>
      <w:r>
        <w:rPr>
          <w:rFonts w:eastAsia="方正小标宋简体"/>
          <w:b/>
          <w:sz w:val="44"/>
          <w:szCs w:val="44"/>
        </w:rPr>
        <w:t>竞买协议</w:t>
      </w:r>
    </w:p>
    <w:p w14:paraId="095E6935">
      <w:pPr>
        <w:spacing w:line="540" w:lineRule="exact"/>
        <w:ind w:left="178" w:leftChars="85" w:right="277" w:rightChars="132"/>
        <w:rPr>
          <w:sz w:val="32"/>
          <w:szCs w:val="32"/>
        </w:rPr>
      </w:pPr>
    </w:p>
    <w:p w14:paraId="1CB34B7A">
      <w:pPr>
        <w:spacing w:line="540" w:lineRule="exact"/>
        <w:ind w:right="277" w:rightChars="132"/>
        <w:rPr>
          <w:rFonts w:eastAsia="仿宋_GB2312"/>
          <w:sz w:val="32"/>
          <w:szCs w:val="32"/>
        </w:rPr>
      </w:pPr>
      <w:r>
        <w:rPr>
          <w:rFonts w:eastAsia="仿宋_GB2312"/>
          <w:b/>
          <w:sz w:val="32"/>
          <w:szCs w:val="32"/>
        </w:rPr>
        <w:t>甲方（挂牌人）：</w:t>
      </w:r>
      <w:r>
        <w:rPr>
          <w:rFonts w:eastAsia="仿宋_GB2312"/>
          <w:bCs/>
          <w:sz w:val="32"/>
          <w:szCs w:val="32"/>
        </w:rPr>
        <w:t xml:space="preserve">乐山市土地矿权交易中心  </w:t>
      </w:r>
    </w:p>
    <w:p w14:paraId="0BA0B41B">
      <w:pPr>
        <w:spacing w:line="540" w:lineRule="exact"/>
        <w:ind w:right="277" w:rightChars="132"/>
        <w:rPr>
          <w:rFonts w:eastAsia="仿宋_GB2312"/>
          <w:b/>
          <w:sz w:val="32"/>
          <w:szCs w:val="32"/>
        </w:rPr>
      </w:pPr>
      <w:r>
        <w:rPr>
          <w:rFonts w:eastAsia="仿宋_GB2312"/>
          <w:b/>
          <w:sz w:val="32"/>
          <w:szCs w:val="32"/>
        </w:rPr>
        <w:t>乙方（申请人）：</w:t>
      </w:r>
    </w:p>
    <w:p w14:paraId="242AE002">
      <w:pPr>
        <w:spacing w:line="540" w:lineRule="exact"/>
        <w:ind w:left="178" w:leftChars="85" w:right="277" w:rightChars="132" w:firstLine="480" w:firstLineChars="150"/>
        <w:rPr>
          <w:rFonts w:eastAsia="仿宋_GB2312"/>
          <w:sz w:val="32"/>
          <w:szCs w:val="32"/>
        </w:rPr>
      </w:pPr>
    </w:p>
    <w:p w14:paraId="502B0030">
      <w:pPr>
        <w:spacing w:line="540" w:lineRule="exact"/>
        <w:ind w:firstLine="640" w:firstLineChars="200"/>
        <w:rPr>
          <w:rFonts w:eastAsia="华文中宋"/>
          <w:b/>
          <w:sz w:val="36"/>
          <w:szCs w:val="36"/>
        </w:rPr>
      </w:pPr>
      <w:r>
        <w:rPr>
          <w:rFonts w:eastAsia="仿宋_GB2312"/>
          <w:sz w:val="32"/>
          <w:szCs w:val="32"/>
        </w:rPr>
        <w:t>依照《中华人民共和国合同法》、《招标拍卖挂牌出让国有建设用地使用权规定》等相关法律法规以及挂牌文件的有关规定，甲方</w:t>
      </w:r>
      <w:r>
        <w:rPr>
          <w:rFonts w:eastAsia="仿宋_GB2312"/>
          <w:kern w:val="0"/>
          <w:sz w:val="32"/>
          <w:szCs w:val="32"/>
        </w:rPr>
        <w:t>于</w:t>
      </w: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w:t>
      </w:r>
      <w:r>
        <w:rPr>
          <w:rFonts w:hint="eastAsia" w:eastAsia="仿宋_GB2312"/>
          <w:sz w:val="32"/>
          <w:szCs w:val="32"/>
          <w:lang w:val="en-US" w:eastAsia="zh-CN"/>
        </w:rPr>
        <w:t>9</w:t>
      </w:r>
      <w:r>
        <w:rPr>
          <w:rFonts w:eastAsia="仿宋_GB2312"/>
          <w:sz w:val="32"/>
          <w:szCs w:val="32"/>
        </w:rPr>
        <w:t>月</w:t>
      </w:r>
      <w:r>
        <w:rPr>
          <w:rFonts w:hint="eastAsia" w:eastAsia="仿宋_GB2312"/>
          <w:sz w:val="32"/>
          <w:szCs w:val="32"/>
          <w:lang w:val="en-US" w:eastAsia="zh-CN"/>
        </w:rPr>
        <w:t>23</w:t>
      </w:r>
      <w:r>
        <w:rPr>
          <w:rFonts w:eastAsia="仿宋_GB2312"/>
          <w:sz w:val="32"/>
          <w:szCs w:val="32"/>
        </w:rPr>
        <w:t>日09:00起至20</w:t>
      </w:r>
      <w:r>
        <w:rPr>
          <w:rFonts w:hint="eastAsia" w:eastAsia="仿宋_GB2312"/>
          <w:sz w:val="32"/>
          <w:szCs w:val="32"/>
        </w:rPr>
        <w:t>2</w:t>
      </w:r>
      <w:r>
        <w:rPr>
          <w:rFonts w:hint="eastAsia" w:eastAsia="仿宋_GB2312"/>
          <w:sz w:val="32"/>
          <w:szCs w:val="32"/>
          <w:lang w:val="en-US" w:eastAsia="zh-CN"/>
        </w:rPr>
        <w:t>4</w:t>
      </w:r>
      <w:r>
        <w:rPr>
          <w:rFonts w:eastAsia="仿宋_GB2312"/>
          <w:sz w:val="32"/>
          <w:szCs w:val="32"/>
        </w:rPr>
        <w:t>年</w:t>
      </w:r>
      <w:r>
        <w:rPr>
          <w:rFonts w:hint="eastAsia" w:eastAsia="仿宋_GB2312"/>
          <w:sz w:val="32"/>
          <w:szCs w:val="32"/>
          <w:lang w:val="en-US" w:eastAsia="zh-CN"/>
        </w:rPr>
        <w:t>10</w:t>
      </w:r>
      <w:r>
        <w:rPr>
          <w:rFonts w:eastAsia="仿宋_GB2312"/>
          <w:sz w:val="32"/>
          <w:szCs w:val="32"/>
        </w:rPr>
        <w:t>月</w:t>
      </w:r>
      <w:r>
        <w:rPr>
          <w:rFonts w:hint="eastAsia" w:eastAsia="仿宋_GB2312"/>
          <w:sz w:val="32"/>
          <w:szCs w:val="32"/>
          <w:lang w:val="en-US" w:eastAsia="zh-CN"/>
        </w:rPr>
        <w:t>16</w:t>
      </w:r>
      <w:r>
        <w:rPr>
          <w:rFonts w:eastAsia="仿宋_GB2312"/>
          <w:sz w:val="32"/>
          <w:szCs w:val="32"/>
        </w:rPr>
        <w:t>日10:00止</w:t>
      </w:r>
      <w:r>
        <w:rPr>
          <w:rFonts w:hint="eastAsia" w:eastAsia="仿宋_GB2312"/>
          <w:sz w:val="32"/>
          <w:szCs w:val="32"/>
        </w:rPr>
        <w:t>（节假日除外）在</w:t>
      </w:r>
      <w:r>
        <w:rPr>
          <w:rFonts w:hint="default" w:ascii="Times New Roman" w:hAnsi="Times New Roman" w:eastAsia="仿宋_GB2312" w:cs="Times New Roman"/>
          <w:kern w:val="0"/>
          <w:sz w:val="32"/>
          <w:szCs w:val="32"/>
        </w:rPr>
        <w:t>乐山市市中区柏杨东路199号乐山市土地矿权交易市场</w:t>
      </w:r>
      <w:r>
        <w:rPr>
          <w:rFonts w:hint="eastAsia" w:eastAsia="仿宋_GB2312"/>
          <w:sz w:val="32"/>
          <w:szCs w:val="32"/>
        </w:rPr>
        <w:t>公开挂</w:t>
      </w:r>
      <w:r>
        <w:rPr>
          <w:rFonts w:hint="eastAsia" w:ascii="Times New Roman" w:hAnsi="Times New Roman" w:eastAsia="仿宋_GB2312" w:cs="Times New Roman"/>
          <w:sz w:val="32"/>
          <w:szCs w:val="32"/>
        </w:rPr>
        <w:t>牌</w:t>
      </w:r>
      <w:r>
        <w:rPr>
          <w:rFonts w:eastAsia="仿宋_GB2312"/>
          <w:kern w:val="0"/>
          <w:sz w:val="32"/>
          <w:szCs w:val="32"/>
        </w:rPr>
        <w:t>出让</w:t>
      </w:r>
      <w:r>
        <w:rPr>
          <w:rFonts w:hint="eastAsia" w:eastAsia="仿宋_GB2312"/>
          <w:sz w:val="32"/>
          <w:szCs w:val="32"/>
        </w:rPr>
        <w:t>乐山市市中</w:t>
      </w:r>
      <w:r>
        <w:rPr>
          <w:rFonts w:hint="eastAsia" w:ascii="Times New Roman" w:hAnsi="Times New Roman" w:eastAsia="仿宋_GB2312" w:cs="Times New Roman"/>
          <w:sz w:val="32"/>
          <w:szCs w:val="32"/>
        </w:rPr>
        <w:t>区</w:t>
      </w:r>
      <w:r>
        <w:rPr>
          <w:rFonts w:hint="eastAsia" w:ascii="Times New Roman" w:hAnsi="Times New Roman" w:eastAsia="仿宋_GB2312" w:cs="Times New Roman"/>
          <w:sz w:val="32"/>
          <w:szCs w:val="32"/>
          <w:lang w:val="en-US" w:eastAsia="zh-CN"/>
        </w:rPr>
        <w:t>[乐中挂〔202</w:t>
      </w:r>
      <w:r>
        <w:rPr>
          <w:rFonts w:hint="eastAsia" w:eastAsia="仿宋_GB2312" w:cs="Times New Roman"/>
          <w:sz w:val="32"/>
          <w:szCs w:val="32"/>
          <w:lang w:val="en-US" w:eastAsia="zh-CN"/>
        </w:rPr>
        <w:t>4</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号]</w:t>
      </w:r>
      <w:r>
        <w:rPr>
          <w:rFonts w:ascii="Times New Roman" w:hAnsi="Times New Roman" w:eastAsia="仿宋_GB2312" w:cs="Times New Roman"/>
          <w:sz w:val="32"/>
          <w:szCs w:val="32"/>
        </w:rPr>
        <w:t>地</w:t>
      </w:r>
      <w:r>
        <w:rPr>
          <w:rFonts w:eastAsia="仿宋_GB2312"/>
          <w:sz w:val="32"/>
          <w:szCs w:val="32"/>
        </w:rPr>
        <w:t>块国有建设用地使用权</w:t>
      </w:r>
      <w:r>
        <w:rPr>
          <w:rFonts w:eastAsia="仿宋_GB2312"/>
          <w:kern w:val="0"/>
          <w:sz w:val="32"/>
          <w:szCs w:val="32"/>
        </w:rPr>
        <w:t>，乙方自愿参加，已提交竞买申请书，双方在平等、自愿的基础上，达成如下协议：</w:t>
      </w:r>
    </w:p>
    <w:p w14:paraId="716656D8">
      <w:pPr>
        <w:spacing w:line="540" w:lineRule="exact"/>
        <w:ind w:right="122" w:rightChars="58" w:firstLine="640" w:firstLineChars="200"/>
        <w:rPr>
          <w:rFonts w:eastAsia="黑体"/>
          <w:bCs/>
          <w:spacing w:val="-10"/>
          <w:sz w:val="32"/>
          <w:szCs w:val="32"/>
        </w:rPr>
      </w:pPr>
      <w:r>
        <w:rPr>
          <w:rFonts w:eastAsia="黑体"/>
          <w:sz w:val="32"/>
          <w:szCs w:val="32"/>
        </w:rPr>
        <w:t>一、</w:t>
      </w:r>
      <w:r>
        <w:rPr>
          <w:rFonts w:eastAsia="黑体"/>
          <w:bCs/>
          <w:sz w:val="32"/>
          <w:szCs w:val="32"/>
        </w:rPr>
        <w:t>甲方权利及义务</w:t>
      </w:r>
    </w:p>
    <w:p w14:paraId="377E5DDA">
      <w:pPr>
        <w:spacing w:line="540" w:lineRule="exact"/>
        <w:ind w:right="122" w:rightChars="58" w:firstLine="640" w:firstLineChars="200"/>
        <w:rPr>
          <w:rFonts w:eastAsia="楷体_GB2312"/>
          <w:bCs/>
          <w:spacing w:val="-10"/>
          <w:sz w:val="32"/>
          <w:szCs w:val="32"/>
        </w:rPr>
      </w:pPr>
      <w:r>
        <w:rPr>
          <w:rFonts w:eastAsia="楷体_GB2312"/>
          <w:bCs/>
          <w:sz w:val="32"/>
          <w:szCs w:val="32"/>
        </w:rPr>
        <w:t>（一）在挂牌程序中，遵循公开、公平、公正、诚信的原则严格依法交易，提供优质服务。</w:t>
      </w:r>
    </w:p>
    <w:p w14:paraId="6C9B1548">
      <w:pPr>
        <w:spacing w:line="540" w:lineRule="exact"/>
        <w:ind w:right="122" w:rightChars="58" w:firstLine="640" w:firstLineChars="200"/>
        <w:rPr>
          <w:rFonts w:eastAsia="楷体_GB2312"/>
          <w:bCs/>
          <w:sz w:val="32"/>
          <w:szCs w:val="32"/>
        </w:rPr>
      </w:pPr>
      <w:r>
        <w:rPr>
          <w:rFonts w:eastAsia="楷体_GB2312"/>
          <w:bCs/>
          <w:sz w:val="32"/>
          <w:szCs w:val="32"/>
        </w:rPr>
        <w:t>（二）客观真实地向乙方说明地块的基本情况，并提供相关交易资料。</w:t>
      </w:r>
    </w:p>
    <w:p w14:paraId="0731F371">
      <w:pPr>
        <w:spacing w:line="540" w:lineRule="exact"/>
        <w:ind w:right="122" w:rightChars="58" w:firstLine="643" w:firstLineChars="200"/>
        <w:rPr>
          <w:rFonts w:eastAsia="黑体"/>
          <w:b/>
          <w:bCs/>
          <w:sz w:val="32"/>
          <w:szCs w:val="32"/>
        </w:rPr>
      </w:pPr>
      <w:r>
        <w:rPr>
          <w:rFonts w:eastAsia="黑体"/>
          <w:b/>
          <w:bCs/>
          <w:sz w:val="32"/>
          <w:szCs w:val="32"/>
        </w:rPr>
        <w:t>（三）在符合挂牌规定的情况下按期举办挂牌会，若挂牌会不能正常举行的应及时告知乙方。</w:t>
      </w:r>
    </w:p>
    <w:p w14:paraId="65D49B92">
      <w:pPr>
        <w:spacing w:line="540" w:lineRule="exact"/>
        <w:ind w:firstLine="643" w:firstLineChars="200"/>
        <w:rPr>
          <w:rFonts w:eastAsia="黑体"/>
          <w:b/>
          <w:sz w:val="32"/>
          <w:szCs w:val="32"/>
        </w:rPr>
      </w:pPr>
      <w:r>
        <w:rPr>
          <w:rFonts w:eastAsia="黑体"/>
          <w:b/>
          <w:sz w:val="32"/>
          <w:szCs w:val="32"/>
        </w:rPr>
        <w:t>（四）若乙方竞买未成功，按挂牌文件的规定在挂牌会结束后5个工作日内退还乙方竞买保证金，但不支付期间的利息。若乙方竞买成功，办理其竞买保证金用于支付交易服务费后剩余部分转作受让地块定金的相关手续。</w:t>
      </w:r>
    </w:p>
    <w:p w14:paraId="79BDA802">
      <w:pPr>
        <w:spacing w:line="540" w:lineRule="exact"/>
        <w:ind w:right="122" w:rightChars="58" w:firstLine="640" w:firstLineChars="200"/>
        <w:rPr>
          <w:rFonts w:eastAsia="黑体"/>
          <w:bCs/>
          <w:sz w:val="32"/>
          <w:szCs w:val="32"/>
        </w:rPr>
      </w:pPr>
      <w:r>
        <w:rPr>
          <w:rFonts w:eastAsia="黑体"/>
          <w:sz w:val="32"/>
          <w:szCs w:val="32"/>
        </w:rPr>
        <w:t>二、</w:t>
      </w:r>
      <w:r>
        <w:rPr>
          <w:rFonts w:eastAsia="黑体"/>
          <w:bCs/>
          <w:sz w:val="32"/>
          <w:szCs w:val="32"/>
        </w:rPr>
        <w:t>乙方权利及义务</w:t>
      </w:r>
    </w:p>
    <w:p w14:paraId="1BD1A6F6">
      <w:pPr>
        <w:spacing w:line="540" w:lineRule="exact"/>
        <w:ind w:right="122" w:rightChars="58" w:firstLine="640" w:firstLineChars="200"/>
        <w:rPr>
          <w:rFonts w:eastAsia="楷体_GB2312"/>
          <w:bCs/>
          <w:sz w:val="32"/>
          <w:szCs w:val="32"/>
        </w:rPr>
      </w:pPr>
      <w:r>
        <w:rPr>
          <w:rFonts w:eastAsia="楷体_GB2312"/>
          <w:bCs/>
          <w:sz w:val="32"/>
          <w:szCs w:val="32"/>
        </w:rPr>
        <w:t>（一）经认真仔细审阅挂牌文件内容并现场踏勘出让地块，已全面了解出让地块具体情况，对出让地块现状、配套设施、规划设计条件、交易规则、挂牌文件要求和规定等情况无任何异议，已充分认可、完全理解、自愿接受挂牌文件内容，自愿参加该宗地块的竞买，自愿履行相关责任及义务。</w:t>
      </w:r>
    </w:p>
    <w:p w14:paraId="420EBD9F">
      <w:pPr>
        <w:spacing w:line="540" w:lineRule="exact"/>
        <w:ind w:right="122" w:rightChars="58" w:firstLine="640" w:firstLineChars="200"/>
        <w:rPr>
          <w:rFonts w:eastAsia="楷体_GB2312"/>
          <w:bCs/>
          <w:sz w:val="32"/>
          <w:szCs w:val="32"/>
        </w:rPr>
      </w:pPr>
      <w:r>
        <w:rPr>
          <w:rFonts w:eastAsia="楷体_GB2312"/>
          <w:bCs/>
          <w:sz w:val="32"/>
          <w:szCs w:val="32"/>
        </w:rPr>
        <w:t>（二）承诺在报名时提供合法、真实的证件和资料，符合竞买的相关要求，自愿接受甲方的资格审查。</w:t>
      </w:r>
    </w:p>
    <w:p w14:paraId="188D8FA3">
      <w:pPr>
        <w:spacing w:line="540" w:lineRule="exact"/>
        <w:ind w:right="122" w:rightChars="58" w:firstLine="640" w:firstLineChars="200"/>
        <w:rPr>
          <w:rFonts w:eastAsia="楷体_GB2312"/>
          <w:bCs/>
          <w:sz w:val="32"/>
          <w:szCs w:val="32"/>
        </w:rPr>
      </w:pPr>
      <w:r>
        <w:rPr>
          <w:rFonts w:eastAsia="楷体_GB2312"/>
          <w:bCs/>
          <w:sz w:val="32"/>
          <w:szCs w:val="32"/>
        </w:rPr>
        <w:t>（三）挂牌会当日09:30前，到</w:t>
      </w:r>
      <w:r>
        <w:rPr>
          <w:rFonts w:hint="default" w:eastAsia="楷体_GB2312"/>
          <w:bCs/>
          <w:sz w:val="32"/>
          <w:szCs w:val="32"/>
        </w:rPr>
        <w:t>乐山市市中区柏杨东路199号二楼交易市场</w:t>
      </w:r>
      <w:r>
        <w:rPr>
          <w:rFonts w:eastAsia="楷体_GB2312"/>
          <w:bCs/>
          <w:sz w:val="32"/>
          <w:szCs w:val="32"/>
        </w:rPr>
        <w:t>领取应价牌。</w:t>
      </w:r>
    </w:p>
    <w:p w14:paraId="1F3A13A7">
      <w:pPr>
        <w:spacing w:line="540" w:lineRule="exact"/>
        <w:ind w:right="122" w:rightChars="58" w:firstLine="640" w:firstLineChars="200"/>
        <w:rPr>
          <w:rFonts w:eastAsia="楷体_GB2312"/>
          <w:bCs/>
          <w:sz w:val="32"/>
          <w:szCs w:val="32"/>
        </w:rPr>
      </w:pPr>
      <w:r>
        <w:rPr>
          <w:rFonts w:eastAsia="楷体_GB2312"/>
          <w:bCs/>
          <w:sz w:val="32"/>
          <w:szCs w:val="32"/>
        </w:rPr>
        <w:t>（四）按规定进入竞买席位，并按应价牌对号入座，对进入对应竞买席位中所有人员的举牌应价行为及其他行为承担法律责任。</w:t>
      </w:r>
    </w:p>
    <w:p w14:paraId="5C2AB9F4">
      <w:pPr>
        <w:spacing w:line="540" w:lineRule="exact"/>
        <w:ind w:right="122" w:rightChars="58" w:firstLine="643" w:firstLineChars="200"/>
        <w:rPr>
          <w:rStyle w:val="36"/>
          <w:rFonts w:eastAsia="楷体_GB2312"/>
          <w:b/>
          <w:sz w:val="32"/>
          <w:szCs w:val="32"/>
        </w:rPr>
      </w:pPr>
      <w:r>
        <w:rPr>
          <w:rStyle w:val="36"/>
          <w:rFonts w:eastAsia="楷体_GB2312"/>
          <w:b/>
          <w:sz w:val="32"/>
          <w:szCs w:val="32"/>
        </w:rPr>
        <w:t>（五）</w:t>
      </w:r>
      <w:r>
        <w:rPr>
          <w:rFonts w:eastAsia="楷体_GB2312"/>
          <w:b/>
          <w:sz w:val="32"/>
          <w:szCs w:val="32"/>
        </w:rPr>
        <w:t>竞买成功后，</w:t>
      </w:r>
      <w:r>
        <w:rPr>
          <w:rStyle w:val="36"/>
          <w:rFonts w:eastAsia="楷体_GB2312"/>
          <w:b/>
          <w:sz w:val="32"/>
          <w:szCs w:val="32"/>
        </w:rPr>
        <w:t>承诺自觉履行下列责任及义务：</w:t>
      </w:r>
    </w:p>
    <w:p w14:paraId="56E5189E">
      <w:pPr>
        <w:spacing w:line="540" w:lineRule="exact"/>
        <w:ind w:right="122" w:rightChars="58" w:firstLine="643" w:firstLineChars="200"/>
        <w:rPr>
          <w:rFonts w:eastAsia="黑体"/>
          <w:b/>
          <w:sz w:val="32"/>
          <w:szCs w:val="32"/>
        </w:rPr>
      </w:pPr>
      <w:r>
        <w:rPr>
          <w:rFonts w:eastAsia="黑体"/>
          <w:b/>
          <w:sz w:val="32"/>
          <w:szCs w:val="32"/>
        </w:rPr>
        <w:t>1．承诺按《挂牌文件》规定签订《最高报价确认书》、《成交确认书》。</w:t>
      </w:r>
    </w:p>
    <w:p w14:paraId="471E8BD9">
      <w:pPr>
        <w:spacing w:line="540" w:lineRule="exact"/>
        <w:ind w:right="122" w:rightChars="58" w:firstLine="643" w:firstLineChars="200"/>
        <w:rPr>
          <w:rFonts w:eastAsia="黑体"/>
          <w:b/>
          <w:sz w:val="32"/>
          <w:szCs w:val="32"/>
        </w:rPr>
      </w:pPr>
      <w:r>
        <w:rPr>
          <w:rFonts w:eastAsia="黑体"/>
          <w:b/>
          <w:sz w:val="32"/>
          <w:szCs w:val="32"/>
        </w:rPr>
        <w:t>2．承诺在</w:t>
      </w:r>
      <w:r>
        <w:rPr>
          <w:rFonts w:hint="eastAsia" w:eastAsia="黑体"/>
          <w:b/>
          <w:sz w:val="32"/>
          <w:szCs w:val="32"/>
        </w:rPr>
        <w:t>挂牌成交之日起</w:t>
      </w:r>
      <w:r>
        <w:rPr>
          <w:rFonts w:eastAsia="黑体"/>
          <w:b/>
          <w:sz w:val="32"/>
          <w:szCs w:val="32"/>
        </w:rPr>
        <w:t>10</w:t>
      </w:r>
      <w:r>
        <w:rPr>
          <w:rFonts w:hint="eastAsia" w:eastAsia="黑体"/>
          <w:b/>
          <w:sz w:val="32"/>
          <w:szCs w:val="32"/>
        </w:rPr>
        <w:t>个工作日内</w:t>
      </w:r>
      <w:r>
        <w:rPr>
          <w:rFonts w:eastAsia="黑体"/>
          <w:b/>
          <w:sz w:val="32"/>
          <w:szCs w:val="32"/>
        </w:rPr>
        <w:t>，与乐山市</w:t>
      </w:r>
      <w:r>
        <w:rPr>
          <w:rFonts w:hint="eastAsia" w:eastAsia="黑体"/>
          <w:b/>
          <w:sz w:val="32"/>
          <w:szCs w:val="32"/>
        </w:rPr>
        <w:t>市中区</w:t>
      </w:r>
      <w:r>
        <w:rPr>
          <w:rFonts w:eastAsia="黑体"/>
          <w:b/>
          <w:sz w:val="32"/>
          <w:szCs w:val="32"/>
        </w:rPr>
        <w:t>自然资源局签订《国有建设用地使用权出让合同》。</w:t>
      </w:r>
    </w:p>
    <w:p w14:paraId="63246F93">
      <w:pPr>
        <w:spacing w:line="540" w:lineRule="exact"/>
        <w:ind w:right="122" w:rightChars="58" w:firstLine="643" w:firstLineChars="200"/>
        <w:rPr>
          <w:rFonts w:eastAsia="黑体"/>
          <w:b/>
          <w:sz w:val="32"/>
          <w:szCs w:val="32"/>
        </w:rPr>
      </w:pPr>
      <w:r>
        <w:rPr>
          <w:rFonts w:eastAsia="黑体"/>
          <w:b/>
          <w:sz w:val="32"/>
          <w:szCs w:val="32"/>
        </w:rPr>
        <w:t>3.承诺竞得后</w:t>
      </w:r>
      <w:r>
        <w:rPr>
          <w:rFonts w:hint="eastAsia" w:eastAsia="黑体"/>
          <w:b/>
          <w:sz w:val="32"/>
          <w:szCs w:val="32"/>
          <w:lang w:eastAsia="zh-CN"/>
        </w:rPr>
        <w:t>乙方缴纳的竞买保证金用于支付交易服务费后的剩余部分转作受让地块的定金，竞得人须持《银行端查询缴税凭证》到乐山市公共资源交易服务中心办理该宗地块定金缴入国库的相关事宜。</w:t>
      </w:r>
    </w:p>
    <w:p w14:paraId="2DA44247">
      <w:pPr>
        <w:keepNext w:val="0"/>
        <w:keepLines w:val="0"/>
        <w:pageBreakBefore w:val="0"/>
        <w:tabs>
          <w:tab w:val="left" w:pos="4368"/>
        </w:tabs>
        <w:kinsoku/>
        <w:wordWrap/>
        <w:overflowPunct/>
        <w:topLinePunct w:val="0"/>
        <w:autoSpaceDE/>
        <w:autoSpaceDN/>
        <w:bidi w:val="0"/>
        <w:snapToGrid/>
        <w:spacing w:line="520" w:lineRule="exact"/>
        <w:ind w:firstLine="643" w:firstLineChars="200"/>
        <w:textAlignment w:val="auto"/>
        <w:rPr>
          <w:rFonts w:eastAsia="黑体"/>
          <w:b/>
          <w:bCs/>
          <w:sz w:val="32"/>
          <w:szCs w:val="32"/>
        </w:rPr>
      </w:pPr>
      <w:r>
        <w:rPr>
          <w:rFonts w:eastAsia="黑体"/>
          <w:b/>
          <w:sz w:val="32"/>
          <w:szCs w:val="32"/>
        </w:rPr>
        <w:t xml:space="preserve">4. </w:t>
      </w:r>
      <w:r>
        <w:rPr>
          <w:rFonts w:eastAsia="黑体"/>
          <w:b/>
          <w:bCs/>
          <w:sz w:val="32"/>
          <w:szCs w:val="32"/>
        </w:rPr>
        <w:t>承诺在</w:t>
      </w:r>
      <w:r>
        <w:rPr>
          <w:rFonts w:hint="eastAsia" w:eastAsia="黑体"/>
          <w:b/>
          <w:bCs/>
          <w:sz w:val="32"/>
          <w:szCs w:val="32"/>
        </w:rPr>
        <w:t>签订《国有建设用地使用权出让合同》之日起</w:t>
      </w:r>
      <w:r>
        <w:rPr>
          <w:rFonts w:eastAsia="黑体"/>
          <w:b/>
          <w:bCs/>
          <w:sz w:val="32"/>
          <w:szCs w:val="32"/>
        </w:rPr>
        <w:t>1</w:t>
      </w:r>
      <w:r>
        <w:rPr>
          <w:rFonts w:hint="eastAsia" w:eastAsia="黑体"/>
          <w:b/>
          <w:bCs/>
          <w:sz w:val="32"/>
          <w:szCs w:val="32"/>
        </w:rPr>
        <w:t>个月内一次性支付全部土地成交价款。土地出让价款全额缴入</w:t>
      </w:r>
      <w:r>
        <w:rPr>
          <w:rFonts w:hint="eastAsia" w:eastAsia="黑体"/>
          <w:b/>
          <w:bCs/>
          <w:sz w:val="32"/>
          <w:szCs w:val="32"/>
          <w:lang w:eastAsia="zh-CN"/>
        </w:rPr>
        <w:t>国家金库乐山市市中区支库</w:t>
      </w:r>
      <w:r>
        <w:rPr>
          <w:rFonts w:hint="eastAsia" w:eastAsia="黑体"/>
          <w:b/>
          <w:bCs/>
          <w:sz w:val="32"/>
          <w:szCs w:val="32"/>
        </w:rPr>
        <w:t>。</w:t>
      </w:r>
      <w:r>
        <w:rPr>
          <w:rFonts w:eastAsia="黑体"/>
          <w:b/>
          <w:bCs/>
          <w:sz w:val="32"/>
          <w:szCs w:val="32"/>
        </w:rPr>
        <w:t xml:space="preserve"> </w:t>
      </w:r>
    </w:p>
    <w:p w14:paraId="65C5F91D">
      <w:pPr>
        <w:spacing w:line="540" w:lineRule="exact"/>
        <w:ind w:firstLine="643" w:firstLineChars="200"/>
        <w:rPr>
          <w:rFonts w:eastAsia="黑体"/>
          <w:b/>
          <w:sz w:val="32"/>
          <w:szCs w:val="32"/>
        </w:rPr>
      </w:pPr>
      <w:r>
        <w:rPr>
          <w:rFonts w:hint="eastAsia" w:eastAsia="黑体"/>
          <w:b/>
          <w:sz w:val="32"/>
          <w:szCs w:val="32"/>
          <w:lang w:val="en-US" w:eastAsia="zh-CN"/>
        </w:rPr>
        <w:t>5</w:t>
      </w:r>
      <w:r>
        <w:rPr>
          <w:rFonts w:eastAsia="黑体"/>
          <w:b/>
          <w:sz w:val="32"/>
          <w:szCs w:val="32"/>
        </w:rPr>
        <w:t>. 承诺严格按照出让地块规划条件及其他相关文件要求进行开发建设。</w:t>
      </w:r>
    </w:p>
    <w:p w14:paraId="798C467A">
      <w:pPr>
        <w:spacing w:line="540" w:lineRule="exact"/>
        <w:ind w:right="122" w:rightChars="58" w:firstLine="643" w:firstLineChars="200"/>
        <w:rPr>
          <w:rFonts w:eastAsia="黑体"/>
          <w:b/>
          <w:sz w:val="32"/>
          <w:szCs w:val="32"/>
        </w:rPr>
      </w:pPr>
      <w:r>
        <w:rPr>
          <w:rFonts w:hint="eastAsia" w:eastAsia="黑体"/>
          <w:b/>
          <w:sz w:val="32"/>
          <w:szCs w:val="32"/>
          <w:lang w:val="en-US" w:eastAsia="zh-CN"/>
        </w:rPr>
        <w:t>6</w:t>
      </w:r>
      <w:r>
        <w:rPr>
          <w:rFonts w:eastAsia="黑体"/>
          <w:b/>
          <w:sz w:val="32"/>
          <w:szCs w:val="32"/>
        </w:rPr>
        <w:t>．承诺不以出让地块的现状、瑕疵或未拆迁清场为由，对成交结果、签订的相关文件提出抗辩，要求退地、置换土地，退还竞买保证金（定金）、交易服务费、已缴成交价款或延期支付成交价款等。</w:t>
      </w:r>
    </w:p>
    <w:p w14:paraId="49E1B157">
      <w:pPr>
        <w:spacing w:line="540" w:lineRule="exact"/>
        <w:ind w:right="122" w:rightChars="58" w:firstLine="640" w:firstLineChars="200"/>
        <w:rPr>
          <w:rFonts w:eastAsia="楷体_GB2312"/>
          <w:bCs/>
          <w:sz w:val="32"/>
          <w:szCs w:val="32"/>
        </w:rPr>
      </w:pPr>
      <w:r>
        <w:rPr>
          <w:rFonts w:eastAsia="楷体_GB2312"/>
          <w:bCs/>
          <w:sz w:val="32"/>
          <w:szCs w:val="32"/>
        </w:rPr>
        <w:t>（六）已知晓宗地范围内的地下资源、埋藏物不属于本次国有建设用地使用权出让范围。</w:t>
      </w:r>
    </w:p>
    <w:p w14:paraId="65FD16E4">
      <w:pPr>
        <w:spacing w:line="540" w:lineRule="exact"/>
        <w:ind w:right="122" w:rightChars="58" w:firstLine="640" w:firstLineChars="200"/>
        <w:rPr>
          <w:rFonts w:eastAsia="黑体"/>
          <w:bCs/>
          <w:sz w:val="32"/>
          <w:szCs w:val="32"/>
        </w:rPr>
      </w:pPr>
      <w:r>
        <w:rPr>
          <w:rFonts w:eastAsia="黑体"/>
          <w:bCs/>
          <w:sz w:val="32"/>
          <w:szCs w:val="32"/>
        </w:rPr>
        <w:t>三、违约责任</w:t>
      </w:r>
    </w:p>
    <w:p w14:paraId="6731512C">
      <w:pPr>
        <w:spacing w:line="540" w:lineRule="exact"/>
        <w:ind w:right="122" w:rightChars="58" w:firstLine="643" w:firstLineChars="200"/>
        <w:rPr>
          <w:rFonts w:eastAsia="黑体"/>
          <w:b/>
          <w:sz w:val="32"/>
          <w:szCs w:val="32"/>
        </w:rPr>
      </w:pPr>
      <w:r>
        <w:rPr>
          <w:rFonts w:eastAsia="黑体"/>
          <w:b/>
          <w:sz w:val="32"/>
          <w:szCs w:val="32"/>
        </w:rPr>
        <w:t>（一）乙方未按规定通过网上交易系统报价、未按时领取应价牌和出席挂牌截止活动（不可抗力因素除外），造成交易活动未能正常举行，而造成地块未成交的，须承担本次挂牌中交易中心组织挂牌活动所产生的成本费用（包括但不限于：公告费、资料费、人工费、场地及服务费等），并且承担成本费用不超过百分之三十的违约金。</w:t>
      </w:r>
    </w:p>
    <w:p w14:paraId="34937CBA">
      <w:pPr>
        <w:spacing w:line="540" w:lineRule="exact"/>
        <w:ind w:right="122" w:rightChars="58" w:firstLine="643" w:firstLineChars="200"/>
        <w:rPr>
          <w:rFonts w:eastAsia="黑体"/>
          <w:b/>
          <w:sz w:val="32"/>
          <w:szCs w:val="32"/>
        </w:rPr>
      </w:pPr>
      <w:r>
        <w:rPr>
          <w:rFonts w:eastAsia="黑体"/>
          <w:b/>
          <w:sz w:val="32"/>
          <w:szCs w:val="32"/>
        </w:rPr>
        <w:t>（二）乙方若竞得后，逾期或拒绝签订《最高报价确认书》、《成交确认书》的，须承担本次挂牌交易服务费，缴纳的竞买保证金不予退还。</w:t>
      </w:r>
    </w:p>
    <w:p w14:paraId="5DCF26B8">
      <w:pPr>
        <w:spacing w:line="540" w:lineRule="exact"/>
        <w:ind w:right="122" w:rightChars="58" w:firstLine="643" w:firstLineChars="200"/>
        <w:rPr>
          <w:rFonts w:eastAsia="黑体"/>
          <w:b/>
          <w:sz w:val="32"/>
          <w:szCs w:val="32"/>
        </w:rPr>
      </w:pPr>
      <w:r>
        <w:rPr>
          <w:rFonts w:eastAsia="黑体"/>
          <w:b/>
          <w:sz w:val="32"/>
          <w:szCs w:val="32"/>
        </w:rPr>
        <w:t>（三）乙方若竞得后，逾期或拒绝签订《国有建设用地使用权出让合同》的，出让人终止供地，取消其竞得资格，缴纳的交易服务费不予退还，缴纳的竞买保证金（定金）不予退还。</w:t>
      </w:r>
    </w:p>
    <w:p w14:paraId="29609C3B">
      <w:pPr>
        <w:spacing w:line="540" w:lineRule="exact"/>
        <w:ind w:right="122" w:rightChars="58" w:firstLine="643" w:firstLineChars="200"/>
        <w:rPr>
          <w:rFonts w:eastAsia="黑体"/>
          <w:b/>
          <w:sz w:val="32"/>
          <w:szCs w:val="32"/>
        </w:rPr>
      </w:pPr>
      <w:r>
        <w:rPr>
          <w:rFonts w:hint="eastAsia" w:eastAsia="黑体"/>
          <w:b/>
          <w:sz w:val="32"/>
          <w:szCs w:val="32"/>
        </w:rPr>
        <w:t>（四）</w:t>
      </w:r>
      <w:r>
        <w:rPr>
          <w:rFonts w:eastAsia="黑体"/>
          <w:b/>
          <w:sz w:val="32"/>
          <w:szCs w:val="32"/>
        </w:rPr>
        <w:t>乙方未履行挂牌文件规定和本协议约定的，承诺自愿承担违约责任。</w:t>
      </w:r>
    </w:p>
    <w:p w14:paraId="37DF7172">
      <w:pPr>
        <w:spacing w:line="540" w:lineRule="exact"/>
        <w:ind w:firstLine="640" w:firstLineChars="200"/>
        <w:rPr>
          <w:rFonts w:eastAsia="黑体"/>
          <w:bCs/>
          <w:sz w:val="32"/>
          <w:szCs w:val="32"/>
        </w:rPr>
      </w:pPr>
      <w:r>
        <w:rPr>
          <w:rFonts w:eastAsia="黑体"/>
          <w:bCs/>
          <w:sz w:val="32"/>
          <w:szCs w:val="32"/>
        </w:rPr>
        <w:t>四、未尽事宜按有关规定办理，双方共同履行约定。</w:t>
      </w:r>
    </w:p>
    <w:p w14:paraId="0D983490">
      <w:pPr>
        <w:spacing w:line="540" w:lineRule="exact"/>
        <w:ind w:firstLine="640" w:firstLineChars="200"/>
        <w:rPr>
          <w:rFonts w:eastAsia="黑体"/>
          <w:bCs/>
          <w:sz w:val="32"/>
          <w:szCs w:val="32"/>
        </w:rPr>
      </w:pPr>
      <w:r>
        <w:rPr>
          <w:rFonts w:eastAsia="黑体"/>
          <w:sz w:val="32"/>
          <w:szCs w:val="32"/>
        </w:rPr>
        <w:t>五、若发生争议或违约，双方协商，协商不成，提请乐山仲裁委员会仲裁。</w:t>
      </w:r>
    </w:p>
    <w:p w14:paraId="31F3E87B">
      <w:pPr>
        <w:spacing w:line="540" w:lineRule="exact"/>
        <w:ind w:firstLine="640" w:firstLineChars="200"/>
        <w:rPr>
          <w:rFonts w:eastAsia="仿宋_GB2312"/>
          <w:sz w:val="32"/>
          <w:szCs w:val="32"/>
        </w:rPr>
      </w:pPr>
      <w:r>
        <w:rPr>
          <w:rFonts w:eastAsia="黑体"/>
          <w:bCs/>
          <w:sz w:val="32"/>
          <w:szCs w:val="32"/>
        </w:rPr>
        <w:t>六、本协议一式两份，甲、乙双方各执一份，签字盖章后生效。</w:t>
      </w:r>
    </w:p>
    <w:p w14:paraId="4F3624B7">
      <w:pPr>
        <w:spacing w:line="540" w:lineRule="exact"/>
        <w:ind w:left="178" w:leftChars="85" w:right="277" w:rightChars="132"/>
        <w:rPr>
          <w:rFonts w:eastAsia="仿宋_GB2312"/>
          <w:sz w:val="32"/>
          <w:szCs w:val="32"/>
        </w:rPr>
      </w:pPr>
    </w:p>
    <w:p w14:paraId="6DA14A1F">
      <w:pPr>
        <w:spacing w:line="540" w:lineRule="exact"/>
        <w:ind w:left="178" w:leftChars="85" w:right="277" w:rightChars="132"/>
        <w:rPr>
          <w:rFonts w:eastAsia="仿宋_GB2312"/>
          <w:bCs/>
          <w:sz w:val="32"/>
          <w:szCs w:val="32"/>
        </w:rPr>
      </w:pPr>
      <w:r>
        <w:rPr>
          <w:rFonts w:eastAsia="仿宋_GB2312"/>
          <w:sz w:val="32"/>
          <w:szCs w:val="32"/>
        </w:rPr>
        <w:t>甲方：                        乙方：</w:t>
      </w:r>
      <w:r>
        <w:rPr>
          <w:rFonts w:eastAsia="仿宋_GB2312"/>
          <w:bCs/>
          <w:sz w:val="32"/>
          <w:szCs w:val="32"/>
        </w:rPr>
        <w:t xml:space="preserve"> </w:t>
      </w:r>
    </w:p>
    <w:p w14:paraId="57A4CEC5">
      <w:pPr>
        <w:spacing w:line="540" w:lineRule="exact"/>
        <w:ind w:right="277" w:rightChars="132" w:firstLine="160" w:firstLineChars="50"/>
        <w:rPr>
          <w:rFonts w:eastAsia="仿宋_GB2312"/>
          <w:sz w:val="32"/>
          <w:szCs w:val="32"/>
        </w:rPr>
      </w:pPr>
      <w:r>
        <w:rPr>
          <w:rFonts w:eastAsia="仿宋_GB2312"/>
          <w:sz w:val="32"/>
          <w:szCs w:val="32"/>
        </w:rPr>
        <w:t>法定代表人：                  法定代表人：</w:t>
      </w:r>
    </w:p>
    <w:p w14:paraId="784230A8">
      <w:pPr>
        <w:spacing w:line="540" w:lineRule="exact"/>
        <w:ind w:left="178" w:leftChars="85" w:right="277" w:rightChars="132"/>
        <w:rPr>
          <w:rFonts w:eastAsia="仿宋_GB2312"/>
          <w:sz w:val="32"/>
          <w:szCs w:val="32"/>
        </w:rPr>
      </w:pPr>
      <w:r>
        <w:rPr>
          <w:rFonts w:eastAsia="仿宋_GB2312"/>
          <w:sz w:val="32"/>
          <w:szCs w:val="32"/>
        </w:rPr>
        <w:t>委托代理人：                  委托代理人：</w:t>
      </w:r>
    </w:p>
    <w:p w14:paraId="00E011BB">
      <w:pPr>
        <w:spacing w:line="540" w:lineRule="exact"/>
        <w:ind w:left="178" w:leftChars="85" w:right="277" w:rightChars="132"/>
        <w:jc w:val="center"/>
        <w:rPr>
          <w:rFonts w:eastAsia="仿宋_GB2312"/>
          <w:sz w:val="32"/>
          <w:szCs w:val="32"/>
        </w:rPr>
      </w:pPr>
    </w:p>
    <w:p w14:paraId="55E9A877">
      <w:pPr>
        <w:spacing w:line="540" w:lineRule="exact"/>
        <w:ind w:left="178" w:leftChars="85" w:right="277" w:rightChars="132"/>
        <w:jc w:val="center"/>
        <w:rPr>
          <w:rFonts w:eastAsia="仿宋_GB2312"/>
          <w:sz w:val="32"/>
          <w:szCs w:val="32"/>
        </w:rPr>
      </w:pPr>
      <w:r>
        <w:rPr>
          <w:rFonts w:eastAsia="仿宋_GB2312"/>
          <w:sz w:val="32"/>
          <w:szCs w:val="32"/>
        </w:rPr>
        <w:t>年   月   日</w:t>
      </w:r>
    </w:p>
    <w:p w14:paraId="00F7DB39">
      <w:pPr>
        <w:spacing w:line="580" w:lineRule="exact"/>
        <w:ind w:right="-42" w:rightChars="-20"/>
        <w:rPr>
          <w:rFonts w:eastAsia="方正小标宋简体"/>
          <w:b/>
          <w:sz w:val="44"/>
          <w:szCs w:val="44"/>
        </w:rPr>
      </w:pPr>
    </w:p>
    <w:p w14:paraId="47BB89B0">
      <w:pPr>
        <w:spacing w:line="560" w:lineRule="exact"/>
        <w:ind w:right="-42" w:rightChars="-20"/>
        <w:jc w:val="center"/>
        <w:rPr>
          <w:rFonts w:eastAsia="方正小标宋简体"/>
          <w:b/>
          <w:sz w:val="44"/>
          <w:szCs w:val="44"/>
        </w:rPr>
      </w:pPr>
    </w:p>
    <w:p w14:paraId="36DB398E">
      <w:pPr>
        <w:spacing w:line="560" w:lineRule="exact"/>
        <w:ind w:right="-42" w:rightChars="-20"/>
        <w:jc w:val="center"/>
        <w:rPr>
          <w:rFonts w:eastAsia="方正小标宋简体"/>
          <w:b/>
          <w:sz w:val="44"/>
          <w:szCs w:val="44"/>
        </w:rPr>
      </w:pPr>
    </w:p>
    <w:p w14:paraId="01FEAB4D">
      <w:pPr>
        <w:spacing w:line="560" w:lineRule="exact"/>
        <w:ind w:right="-42" w:rightChars="-20"/>
        <w:jc w:val="center"/>
        <w:rPr>
          <w:rFonts w:eastAsia="方正小标宋简体"/>
          <w:b/>
          <w:sz w:val="44"/>
          <w:szCs w:val="44"/>
        </w:rPr>
      </w:pPr>
    </w:p>
    <w:p w14:paraId="0C0751E4">
      <w:pPr>
        <w:spacing w:line="560" w:lineRule="exact"/>
        <w:ind w:right="-42" w:rightChars="-20"/>
        <w:jc w:val="center"/>
        <w:rPr>
          <w:rFonts w:eastAsia="方正小标宋简体"/>
          <w:b/>
          <w:sz w:val="44"/>
          <w:szCs w:val="44"/>
        </w:rPr>
      </w:pPr>
    </w:p>
    <w:p w14:paraId="3CA02C8B">
      <w:pPr>
        <w:spacing w:line="560" w:lineRule="exact"/>
        <w:ind w:right="-42" w:rightChars="-20"/>
        <w:jc w:val="center"/>
        <w:rPr>
          <w:rFonts w:eastAsia="方正小标宋简体"/>
          <w:b/>
          <w:sz w:val="44"/>
          <w:szCs w:val="44"/>
        </w:rPr>
      </w:pPr>
    </w:p>
    <w:p w14:paraId="377C04CB">
      <w:pPr>
        <w:spacing w:line="560" w:lineRule="exact"/>
        <w:ind w:right="-42" w:rightChars="-20"/>
        <w:jc w:val="center"/>
        <w:rPr>
          <w:rFonts w:eastAsia="方正小标宋简体"/>
          <w:b/>
          <w:sz w:val="44"/>
          <w:szCs w:val="44"/>
        </w:rPr>
      </w:pPr>
    </w:p>
    <w:p w14:paraId="1846334E">
      <w:pPr>
        <w:spacing w:line="560" w:lineRule="exact"/>
        <w:ind w:right="-42" w:rightChars="-20"/>
        <w:jc w:val="center"/>
        <w:rPr>
          <w:rFonts w:eastAsia="方正小标宋简体"/>
          <w:b/>
          <w:sz w:val="44"/>
          <w:szCs w:val="44"/>
        </w:rPr>
      </w:pPr>
    </w:p>
    <w:p w14:paraId="0A9A58E7">
      <w:pPr>
        <w:spacing w:line="560" w:lineRule="exact"/>
        <w:ind w:right="-42" w:rightChars="-20"/>
        <w:jc w:val="center"/>
        <w:rPr>
          <w:rFonts w:eastAsia="方正小标宋简体"/>
          <w:b/>
          <w:sz w:val="44"/>
          <w:szCs w:val="44"/>
        </w:rPr>
      </w:pPr>
    </w:p>
    <w:p w14:paraId="223430DE">
      <w:pPr>
        <w:spacing w:line="560" w:lineRule="exact"/>
        <w:ind w:right="-42" w:rightChars="-20"/>
        <w:jc w:val="center"/>
        <w:rPr>
          <w:rFonts w:eastAsia="方正小标宋简体"/>
          <w:b/>
          <w:sz w:val="44"/>
          <w:szCs w:val="44"/>
        </w:rPr>
      </w:pPr>
    </w:p>
    <w:p w14:paraId="32177115">
      <w:pPr>
        <w:spacing w:line="560" w:lineRule="exact"/>
        <w:ind w:right="-42" w:rightChars="-20"/>
        <w:jc w:val="both"/>
        <w:rPr>
          <w:rFonts w:eastAsia="方正小标宋简体"/>
          <w:b/>
          <w:sz w:val="44"/>
          <w:szCs w:val="44"/>
        </w:rPr>
      </w:pPr>
    </w:p>
    <w:p w14:paraId="0F558ED2">
      <w:pPr>
        <w:spacing w:line="560" w:lineRule="exact"/>
        <w:ind w:right="-42" w:rightChars="-20"/>
        <w:jc w:val="center"/>
        <w:rPr>
          <w:rFonts w:eastAsia="方正小标宋简体"/>
          <w:b/>
          <w:sz w:val="44"/>
          <w:szCs w:val="44"/>
        </w:rPr>
      </w:pPr>
      <w:r>
        <w:rPr>
          <w:rFonts w:eastAsia="方正小标宋简体"/>
          <w:b/>
          <w:sz w:val="44"/>
          <w:szCs w:val="44"/>
        </w:rPr>
        <w:t>竞买资格确认书</w:t>
      </w:r>
    </w:p>
    <w:p w14:paraId="0468F9D3">
      <w:pPr>
        <w:spacing w:line="700" w:lineRule="exact"/>
        <w:rPr>
          <w:rFonts w:eastAsia="仿宋_GB2312"/>
          <w:sz w:val="32"/>
          <w:szCs w:val="32"/>
          <w:u w:val="single"/>
        </w:rPr>
      </w:pPr>
    </w:p>
    <w:p w14:paraId="77DB6417">
      <w:pPr>
        <w:spacing w:line="600" w:lineRule="exact"/>
        <w:rPr>
          <w:rFonts w:eastAsia="仿宋_GB2312"/>
          <w:sz w:val="32"/>
          <w:szCs w:val="32"/>
        </w:rPr>
      </w:pPr>
      <w:r>
        <w:rPr>
          <w:rFonts w:eastAsia="仿宋_GB2312"/>
          <w:sz w:val="32"/>
          <w:szCs w:val="32"/>
          <w:u w:val="single"/>
        </w:rPr>
        <w:t xml:space="preserve">                        </w:t>
      </w:r>
      <w:r>
        <w:rPr>
          <w:rFonts w:eastAsia="仿宋_GB2312"/>
          <w:sz w:val="32"/>
          <w:szCs w:val="32"/>
        </w:rPr>
        <w:t>：</w:t>
      </w:r>
    </w:p>
    <w:p w14:paraId="29C492A9">
      <w:pPr>
        <w:pStyle w:val="41"/>
        <w:shd w:val="clear" w:color="auto" w:fill="FFFFFF"/>
        <w:spacing w:beforeAutospacing="0" w:afterAutospacing="0" w:line="600" w:lineRule="exact"/>
        <w:ind w:firstLine="640" w:firstLineChars="200"/>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你方提交的《竞买申请书》及相关文件资料收悉。经审查，你方具备</w:t>
      </w:r>
      <w:r>
        <w:rPr>
          <w:rFonts w:hint="eastAsia" w:ascii="Times New Roman" w:hAnsi="Times New Roman" w:eastAsia="仿宋_GB2312" w:cs="Times New Roman"/>
          <w:sz w:val="32"/>
          <w:szCs w:val="32"/>
        </w:rPr>
        <w:t>乐山市市中区</w:t>
      </w:r>
      <w:r>
        <w:rPr>
          <w:rFonts w:hint="eastAsia" w:ascii="Times New Roman" w:hAnsi="Times New Roman" w:eastAsia="仿宋_GB2312" w:cs="Times New Roman"/>
          <w:sz w:val="32"/>
          <w:szCs w:val="32"/>
          <w:lang w:val="en-US" w:eastAsia="zh-CN"/>
        </w:rPr>
        <w:t>[乐中挂〔2024〕2号]</w:t>
      </w:r>
      <w:r>
        <w:rPr>
          <w:rFonts w:hint="eastAsia" w:ascii="Times New Roman" w:hAnsi="Times New Roman" w:eastAsia="仿宋_GB2312" w:cs="Times New Roman"/>
          <w:sz w:val="32"/>
          <w:szCs w:val="32"/>
        </w:rPr>
        <w:t>地块国</w:t>
      </w:r>
      <w:r>
        <w:rPr>
          <w:rFonts w:ascii="Times New Roman" w:hAnsi="Times New Roman" w:eastAsia="仿宋_GB2312" w:cs="Times New Roman"/>
          <w:sz w:val="32"/>
          <w:szCs w:val="32"/>
        </w:rPr>
        <w:t>有建设用地使用权挂牌出让的竞买</w:t>
      </w:r>
      <w:r>
        <w:rPr>
          <w:rFonts w:hint="eastAsia" w:ascii="Times New Roman" w:hAnsi="Times New Roman" w:eastAsia="仿宋_GB2312" w:cs="Times New Roman"/>
          <w:sz w:val="32"/>
          <w:szCs w:val="32"/>
        </w:rPr>
        <w:t>资格。请于202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9</w:t>
      </w:r>
      <w:r>
        <w:rPr>
          <w:rFonts w:hint="eastAsia"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23</w:t>
      </w:r>
      <w:r>
        <w:rPr>
          <w:rFonts w:hint="eastAsia" w:ascii="Times New Roman" w:hAnsi="Times New Roman" w:eastAsia="仿宋_GB2312" w:cs="Times New Roman"/>
          <w:sz w:val="32"/>
          <w:szCs w:val="32"/>
        </w:rPr>
        <w:t>日09:00起至202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10</w:t>
      </w:r>
      <w:r>
        <w:rPr>
          <w:rFonts w:hint="eastAsia"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16</w:t>
      </w:r>
      <w:r>
        <w:rPr>
          <w:rFonts w:hint="eastAsia" w:ascii="Times New Roman" w:hAnsi="Times New Roman" w:eastAsia="仿宋_GB2312" w:cs="Times New Roman"/>
          <w:sz w:val="32"/>
          <w:szCs w:val="32"/>
        </w:rPr>
        <w:t>日10:00前通过网上交易系统进行报价。</w:t>
      </w:r>
    </w:p>
    <w:p w14:paraId="368460FB">
      <w:pPr>
        <w:pStyle w:val="41"/>
        <w:shd w:val="clear" w:color="auto" w:fill="FFFFFF"/>
        <w:spacing w:beforeAutospacing="0" w:afterAutospacing="0" w:line="600" w:lineRule="exact"/>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请持此《竞买资格确认书》于202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年</w:t>
      </w:r>
      <w:r>
        <w:rPr>
          <w:rFonts w:hint="eastAsia" w:ascii="Times New Roman" w:hAnsi="Times New Roman" w:eastAsia="仿宋_GB2312" w:cs="Times New Roman"/>
          <w:sz w:val="32"/>
          <w:szCs w:val="32"/>
          <w:lang w:val="en-US" w:eastAsia="zh-CN"/>
        </w:rPr>
        <w:t>10</w:t>
      </w:r>
      <w:r>
        <w:rPr>
          <w:rFonts w:hint="eastAsia"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16</w:t>
      </w:r>
      <w:r>
        <w:rPr>
          <w:rFonts w:hint="eastAsia" w:ascii="Times New Roman" w:hAnsi="Times New Roman" w:eastAsia="仿宋_GB2312" w:cs="Times New Roman"/>
          <w:sz w:val="32"/>
          <w:szCs w:val="32"/>
        </w:rPr>
        <w:t>日09:30前，</w:t>
      </w:r>
      <w:r>
        <w:rPr>
          <w:rFonts w:ascii="Times New Roman" w:hAnsi="Times New Roman" w:eastAsia="仿宋_GB2312" w:cs="Times New Roman"/>
          <w:sz w:val="32"/>
          <w:szCs w:val="32"/>
        </w:rPr>
        <w:t>到</w:t>
      </w:r>
      <w:r>
        <w:rPr>
          <w:rFonts w:hint="default" w:ascii="Times New Roman" w:hAnsi="Times New Roman" w:eastAsia="仿宋_GB2312" w:cs="Times New Roman"/>
          <w:kern w:val="0"/>
          <w:sz w:val="32"/>
          <w:szCs w:val="32"/>
        </w:rPr>
        <w:t>乐山市市中区柏杨东路199号乐山市土地矿权交易市场</w:t>
      </w:r>
      <w:r>
        <w:rPr>
          <w:rFonts w:hint="eastAsia" w:ascii="Times New Roman" w:hAnsi="Times New Roman" w:eastAsia="仿宋_GB2312" w:cs="Times New Roman"/>
          <w:sz w:val="32"/>
          <w:szCs w:val="32"/>
        </w:rPr>
        <w:t>参加国有建设用地使用权挂牌截止活动。</w:t>
      </w:r>
    </w:p>
    <w:p w14:paraId="252E1E3F">
      <w:pPr>
        <w:spacing w:line="560" w:lineRule="exact"/>
        <w:rPr>
          <w:rFonts w:eastAsia="仿宋_GB2312"/>
          <w:sz w:val="32"/>
          <w:szCs w:val="32"/>
        </w:rPr>
      </w:pPr>
    </w:p>
    <w:p w14:paraId="2929A63F">
      <w:pPr>
        <w:spacing w:line="560" w:lineRule="exact"/>
        <w:rPr>
          <w:rFonts w:eastAsia="仿宋_GB2312"/>
          <w:sz w:val="32"/>
          <w:szCs w:val="32"/>
        </w:rPr>
      </w:pPr>
    </w:p>
    <w:p w14:paraId="124F1BFF">
      <w:pPr>
        <w:spacing w:line="560" w:lineRule="exact"/>
        <w:rPr>
          <w:rFonts w:eastAsia="仿宋_GB2312"/>
          <w:sz w:val="32"/>
          <w:szCs w:val="32"/>
        </w:rPr>
      </w:pPr>
    </w:p>
    <w:p w14:paraId="016C4D1A">
      <w:pPr>
        <w:spacing w:line="560" w:lineRule="exact"/>
        <w:ind w:firstLine="4480" w:firstLineChars="1400"/>
        <w:rPr>
          <w:rFonts w:eastAsia="仿宋_GB2312"/>
          <w:sz w:val="32"/>
          <w:szCs w:val="32"/>
        </w:rPr>
      </w:pPr>
      <w:r>
        <w:rPr>
          <w:rFonts w:eastAsia="仿宋_GB2312"/>
          <w:sz w:val="32"/>
          <w:szCs w:val="32"/>
        </w:rPr>
        <w:t>乐山市土地矿权交易中心</w:t>
      </w:r>
    </w:p>
    <w:p w14:paraId="79486618">
      <w:pPr>
        <w:spacing w:line="560" w:lineRule="exact"/>
        <w:rPr>
          <w:rFonts w:eastAsia="仿宋_GB2312"/>
          <w:sz w:val="32"/>
          <w:szCs w:val="32"/>
        </w:rPr>
      </w:pPr>
      <w:r>
        <w:rPr>
          <w:rFonts w:eastAsia="仿宋_GB2312"/>
          <w:sz w:val="32"/>
          <w:szCs w:val="32"/>
        </w:rPr>
        <w:t xml:space="preserve">                                年    月    日</w:t>
      </w:r>
    </w:p>
    <w:p w14:paraId="149A11B9">
      <w:pPr>
        <w:spacing w:line="560" w:lineRule="exact"/>
        <w:rPr>
          <w:rFonts w:eastAsia="仿宋_GB2312"/>
          <w:sz w:val="32"/>
          <w:szCs w:val="32"/>
        </w:rPr>
      </w:pPr>
    </w:p>
    <w:p w14:paraId="6DCBBDC2">
      <w:pPr>
        <w:spacing w:line="700" w:lineRule="exact"/>
        <w:rPr>
          <w:rFonts w:eastAsia="仿宋_GB2312"/>
          <w:sz w:val="32"/>
          <w:szCs w:val="32"/>
        </w:rPr>
      </w:pPr>
    </w:p>
    <w:p w14:paraId="36681337">
      <w:pPr>
        <w:spacing w:line="700" w:lineRule="exact"/>
        <w:rPr>
          <w:rFonts w:eastAsia="仿宋_GB2312"/>
          <w:sz w:val="32"/>
          <w:szCs w:val="32"/>
        </w:rPr>
      </w:pPr>
    </w:p>
    <w:p w14:paraId="5265D30E">
      <w:pPr>
        <w:spacing w:line="560" w:lineRule="exact"/>
        <w:ind w:right="-42" w:rightChars="-20"/>
        <w:rPr>
          <w:rFonts w:eastAsia="方正小标宋简体"/>
          <w:b/>
          <w:sz w:val="44"/>
          <w:szCs w:val="44"/>
        </w:rPr>
      </w:pPr>
    </w:p>
    <w:p w14:paraId="11C02DFF">
      <w:pPr>
        <w:spacing w:line="560" w:lineRule="exact"/>
        <w:ind w:right="-42" w:rightChars="-20"/>
        <w:jc w:val="center"/>
        <w:rPr>
          <w:rFonts w:eastAsia="方正小标宋简体"/>
          <w:b/>
          <w:sz w:val="44"/>
          <w:szCs w:val="44"/>
        </w:rPr>
      </w:pPr>
    </w:p>
    <w:p w14:paraId="1DC3E59A">
      <w:pPr>
        <w:spacing w:line="560" w:lineRule="exact"/>
        <w:ind w:right="-42" w:rightChars="-20"/>
        <w:jc w:val="center"/>
        <w:rPr>
          <w:rFonts w:eastAsia="方正小标宋简体"/>
          <w:b/>
          <w:sz w:val="44"/>
          <w:szCs w:val="44"/>
        </w:rPr>
      </w:pPr>
    </w:p>
    <w:p w14:paraId="5897E59B">
      <w:pPr>
        <w:spacing w:line="560" w:lineRule="exact"/>
        <w:ind w:right="-42" w:rightChars="-20"/>
        <w:jc w:val="center"/>
        <w:rPr>
          <w:rFonts w:eastAsia="方正小标宋简体"/>
          <w:b/>
          <w:sz w:val="44"/>
          <w:szCs w:val="44"/>
        </w:rPr>
      </w:pPr>
      <w:r>
        <w:rPr>
          <w:rFonts w:eastAsia="方正小标宋简体"/>
          <w:b/>
          <w:sz w:val="44"/>
          <w:szCs w:val="44"/>
        </w:rPr>
        <w:t>最高报价确认书</w:t>
      </w:r>
    </w:p>
    <w:p w14:paraId="0D79CBC7">
      <w:pPr>
        <w:spacing w:line="560" w:lineRule="exact"/>
        <w:ind w:right="124" w:rightChars="59"/>
        <w:jc w:val="center"/>
        <w:rPr>
          <w:rFonts w:eastAsia="华文中宋"/>
          <w:b/>
          <w:sz w:val="34"/>
          <w:szCs w:val="34"/>
        </w:rPr>
      </w:pPr>
    </w:p>
    <w:tbl>
      <w:tblPr>
        <w:tblStyle w:val="1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7"/>
        <w:gridCol w:w="6733"/>
      </w:tblGrid>
      <w:tr w14:paraId="58830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269" w:hRule="atLeast"/>
          <w:jc w:val="center"/>
        </w:trPr>
        <w:tc>
          <w:tcPr>
            <w:tcW w:w="2447" w:type="dxa"/>
            <w:vAlign w:val="center"/>
          </w:tcPr>
          <w:p w14:paraId="2C2893FE">
            <w:pPr>
              <w:spacing w:line="560" w:lineRule="exact"/>
              <w:jc w:val="center"/>
              <w:rPr>
                <w:rFonts w:eastAsia="仿宋_GB2312"/>
                <w:sz w:val="32"/>
              </w:rPr>
            </w:pPr>
            <w:r>
              <w:rPr>
                <w:rFonts w:eastAsia="仿宋_GB2312"/>
                <w:sz w:val="32"/>
              </w:rPr>
              <w:t>宗地编号</w:t>
            </w:r>
          </w:p>
        </w:tc>
        <w:tc>
          <w:tcPr>
            <w:tcW w:w="6733" w:type="dxa"/>
            <w:vAlign w:val="center"/>
          </w:tcPr>
          <w:p w14:paraId="3198F415">
            <w:pPr>
              <w:spacing w:line="560" w:lineRule="exact"/>
              <w:jc w:val="center"/>
              <w:rPr>
                <w:rFonts w:eastAsia="仿宋_GB2312"/>
                <w:sz w:val="32"/>
              </w:rPr>
            </w:pPr>
          </w:p>
        </w:tc>
      </w:tr>
      <w:tr w14:paraId="3BB06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0" w:hRule="atLeast"/>
          <w:jc w:val="center"/>
        </w:trPr>
        <w:tc>
          <w:tcPr>
            <w:tcW w:w="2447" w:type="dxa"/>
            <w:vAlign w:val="center"/>
          </w:tcPr>
          <w:p w14:paraId="4DB9E706">
            <w:pPr>
              <w:spacing w:line="560" w:lineRule="exact"/>
              <w:jc w:val="center"/>
              <w:rPr>
                <w:rFonts w:eastAsia="仿宋_GB2312"/>
                <w:sz w:val="32"/>
              </w:rPr>
            </w:pPr>
            <w:r>
              <w:rPr>
                <w:rFonts w:eastAsia="仿宋_GB2312"/>
                <w:sz w:val="32"/>
              </w:rPr>
              <w:t>竞 买 人</w:t>
            </w:r>
          </w:p>
          <w:p w14:paraId="2CDAA8F8">
            <w:pPr>
              <w:spacing w:line="560" w:lineRule="exact"/>
              <w:jc w:val="center"/>
              <w:rPr>
                <w:rFonts w:eastAsia="仿宋_GB2312"/>
                <w:sz w:val="32"/>
              </w:rPr>
            </w:pPr>
            <w:r>
              <w:rPr>
                <w:rFonts w:eastAsia="仿宋_GB2312"/>
                <w:sz w:val="32"/>
              </w:rPr>
              <w:t>（竞价牌号）</w:t>
            </w:r>
          </w:p>
        </w:tc>
        <w:tc>
          <w:tcPr>
            <w:tcW w:w="6733" w:type="dxa"/>
            <w:vAlign w:val="center"/>
          </w:tcPr>
          <w:p w14:paraId="0AE60D54">
            <w:pPr>
              <w:spacing w:line="560" w:lineRule="exact"/>
              <w:jc w:val="center"/>
              <w:rPr>
                <w:rFonts w:eastAsia="仿宋_GB2312"/>
                <w:sz w:val="32"/>
              </w:rPr>
            </w:pPr>
          </w:p>
        </w:tc>
      </w:tr>
      <w:tr w14:paraId="4D454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3" w:hRule="atLeast"/>
          <w:jc w:val="center"/>
        </w:trPr>
        <w:tc>
          <w:tcPr>
            <w:tcW w:w="2447" w:type="dxa"/>
            <w:vAlign w:val="center"/>
          </w:tcPr>
          <w:p w14:paraId="523E6F83">
            <w:pPr>
              <w:spacing w:line="560" w:lineRule="exact"/>
              <w:jc w:val="center"/>
              <w:rPr>
                <w:rFonts w:eastAsia="仿宋_GB2312"/>
                <w:sz w:val="32"/>
              </w:rPr>
            </w:pPr>
            <w:r>
              <w:rPr>
                <w:rFonts w:eastAsia="仿宋_GB2312"/>
                <w:sz w:val="32"/>
              </w:rPr>
              <w:t>最高报价</w:t>
            </w:r>
          </w:p>
        </w:tc>
        <w:tc>
          <w:tcPr>
            <w:tcW w:w="6733" w:type="dxa"/>
            <w:vAlign w:val="center"/>
          </w:tcPr>
          <w:p w14:paraId="311E2FD8">
            <w:pPr>
              <w:spacing w:line="560" w:lineRule="exact"/>
              <w:rPr>
                <w:rFonts w:eastAsia="仿宋_GB2312"/>
                <w:sz w:val="32"/>
              </w:rPr>
            </w:pPr>
            <w:r>
              <w:rPr>
                <w:rFonts w:eastAsia="仿宋_GB2312"/>
                <w:sz w:val="32"/>
              </w:rPr>
              <w:t>大写：   亿    仟    佰   拾   万元整</w:t>
            </w:r>
          </w:p>
          <w:p w14:paraId="5A0432EF">
            <w:pPr>
              <w:spacing w:line="560" w:lineRule="exact"/>
              <w:rPr>
                <w:rFonts w:eastAsia="仿宋_GB2312"/>
                <w:sz w:val="32"/>
              </w:rPr>
            </w:pPr>
            <w:r>
              <w:rPr>
                <w:rFonts w:eastAsia="仿宋_GB2312"/>
                <w:sz w:val="32"/>
              </w:rPr>
              <w:t>（小写：￥            ）</w:t>
            </w:r>
          </w:p>
        </w:tc>
      </w:tr>
    </w:tbl>
    <w:p w14:paraId="789ED995">
      <w:pPr>
        <w:spacing w:line="560" w:lineRule="exact"/>
        <w:rPr>
          <w:rFonts w:eastAsia="仿宋_GB2312"/>
          <w:sz w:val="32"/>
        </w:rPr>
      </w:pPr>
      <w:r>
        <w:rPr>
          <w:rFonts w:eastAsia="仿宋_GB2312"/>
          <w:sz w:val="32"/>
        </w:rPr>
        <w:t>注：</w:t>
      </w:r>
    </w:p>
    <w:p w14:paraId="68B39973">
      <w:pPr>
        <w:spacing w:line="560" w:lineRule="exact"/>
        <w:ind w:firstLine="640" w:firstLineChars="200"/>
        <w:rPr>
          <w:rFonts w:eastAsia="仿宋_GB2312"/>
          <w:sz w:val="32"/>
        </w:rPr>
      </w:pPr>
      <w:r>
        <w:rPr>
          <w:rFonts w:eastAsia="仿宋_GB2312"/>
          <w:sz w:val="32"/>
        </w:rPr>
        <w:t>1．竞得人在挂牌成交后凭本《最高报价确认书》与交易中心签订</w:t>
      </w:r>
      <w:r>
        <w:rPr>
          <w:rFonts w:eastAsia="仿宋_GB2312"/>
          <w:bCs/>
          <w:sz w:val="32"/>
          <w:szCs w:val="32"/>
        </w:rPr>
        <w:t>《成交确认书》</w:t>
      </w:r>
      <w:r>
        <w:rPr>
          <w:rFonts w:eastAsia="仿宋_GB2312"/>
          <w:sz w:val="32"/>
        </w:rPr>
        <w:t>；</w:t>
      </w:r>
    </w:p>
    <w:p w14:paraId="62237B18">
      <w:pPr>
        <w:spacing w:line="560" w:lineRule="exact"/>
        <w:ind w:firstLine="640" w:firstLineChars="200"/>
        <w:rPr>
          <w:rFonts w:eastAsia="仿宋_GB2312"/>
          <w:sz w:val="32"/>
        </w:rPr>
      </w:pPr>
      <w:r>
        <w:rPr>
          <w:rFonts w:eastAsia="仿宋_GB2312"/>
          <w:sz w:val="32"/>
        </w:rPr>
        <w:t>2．本《最高报价确认书》作为</w:t>
      </w:r>
      <w:r>
        <w:rPr>
          <w:rFonts w:eastAsia="仿宋_GB2312"/>
          <w:bCs/>
          <w:sz w:val="32"/>
          <w:szCs w:val="32"/>
        </w:rPr>
        <w:t>《成交确认书》</w:t>
      </w:r>
      <w:r>
        <w:rPr>
          <w:rFonts w:eastAsia="仿宋_GB2312"/>
          <w:sz w:val="32"/>
        </w:rPr>
        <w:t>的重要组成部分，与</w:t>
      </w:r>
      <w:r>
        <w:rPr>
          <w:rFonts w:eastAsia="仿宋_GB2312"/>
          <w:bCs/>
          <w:sz w:val="32"/>
          <w:szCs w:val="32"/>
        </w:rPr>
        <w:t>《成交确认书》</w:t>
      </w:r>
      <w:r>
        <w:rPr>
          <w:rFonts w:eastAsia="仿宋_GB2312"/>
          <w:sz w:val="32"/>
        </w:rPr>
        <w:t>具有同等的法律效力。</w:t>
      </w:r>
    </w:p>
    <w:p w14:paraId="40434757">
      <w:pPr>
        <w:spacing w:line="560" w:lineRule="exact"/>
        <w:rPr>
          <w:rFonts w:eastAsia="仿宋_GB2312"/>
          <w:sz w:val="32"/>
        </w:rPr>
      </w:pPr>
    </w:p>
    <w:p w14:paraId="33291AFC">
      <w:pPr>
        <w:spacing w:line="560" w:lineRule="exact"/>
        <w:rPr>
          <w:rFonts w:eastAsia="仿宋_GB2312"/>
          <w:sz w:val="32"/>
        </w:rPr>
      </w:pPr>
      <w:r>
        <w:rPr>
          <w:rFonts w:eastAsia="仿宋_GB2312"/>
          <w:sz w:val="32"/>
        </w:rPr>
        <w:t xml:space="preserve">    挂牌主持人：               竞得人（签字）：</w:t>
      </w:r>
    </w:p>
    <w:p w14:paraId="58EE976C">
      <w:pPr>
        <w:spacing w:line="560" w:lineRule="exact"/>
        <w:jc w:val="center"/>
        <w:rPr>
          <w:rFonts w:eastAsia="仿宋_GB2312"/>
          <w:sz w:val="32"/>
        </w:rPr>
      </w:pPr>
    </w:p>
    <w:p w14:paraId="12B76E9E">
      <w:pPr>
        <w:spacing w:line="560" w:lineRule="exact"/>
        <w:jc w:val="center"/>
        <w:rPr>
          <w:rFonts w:eastAsia="仿宋_GB2312"/>
          <w:sz w:val="32"/>
        </w:rPr>
      </w:pPr>
    </w:p>
    <w:p w14:paraId="0141C9AE">
      <w:pPr>
        <w:spacing w:line="560" w:lineRule="exact"/>
        <w:rPr>
          <w:rFonts w:eastAsia="仿宋_GB2312"/>
          <w:sz w:val="32"/>
        </w:rPr>
      </w:pPr>
      <w:r>
        <w:rPr>
          <w:rFonts w:eastAsia="仿宋_GB2312"/>
          <w:sz w:val="32"/>
        </w:rPr>
        <w:t xml:space="preserve">    监督机关代表：</w:t>
      </w:r>
    </w:p>
    <w:p w14:paraId="51823842">
      <w:pPr>
        <w:spacing w:line="560" w:lineRule="exact"/>
        <w:rPr>
          <w:rFonts w:eastAsia="仿宋_GB2312"/>
          <w:sz w:val="32"/>
        </w:rPr>
      </w:pPr>
    </w:p>
    <w:p w14:paraId="39D46850">
      <w:pPr>
        <w:spacing w:line="560" w:lineRule="exact"/>
        <w:ind w:firstLine="3360" w:firstLineChars="1050"/>
        <w:rPr>
          <w:rFonts w:eastAsia="方正小标宋简体"/>
          <w:b/>
          <w:sz w:val="44"/>
          <w:szCs w:val="44"/>
        </w:rPr>
      </w:pPr>
      <w:r>
        <w:rPr>
          <w:rFonts w:eastAsia="仿宋_GB2312"/>
          <w:sz w:val="32"/>
        </w:rPr>
        <w:t xml:space="preserve">                年    月    日</w:t>
      </w:r>
    </w:p>
    <w:p w14:paraId="24D4B815">
      <w:pPr>
        <w:spacing w:line="560" w:lineRule="exact"/>
        <w:ind w:right="-42" w:rightChars="-20"/>
        <w:jc w:val="both"/>
        <w:rPr>
          <w:rFonts w:eastAsia="方正小标宋简体"/>
          <w:b/>
          <w:sz w:val="44"/>
          <w:szCs w:val="44"/>
        </w:rPr>
      </w:pPr>
    </w:p>
    <w:p w14:paraId="3CF780DA">
      <w:pPr>
        <w:spacing w:line="560" w:lineRule="exact"/>
        <w:ind w:right="-42" w:rightChars="-20"/>
        <w:jc w:val="center"/>
        <w:rPr>
          <w:rFonts w:eastAsia="方正小标宋简体"/>
          <w:b/>
          <w:sz w:val="44"/>
          <w:szCs w:val="44"/>
        </w:rPr>
      </w:pPr>
    </w:p>
    <w:p w14:paraId="0DB9CC1C">
      <w:pPr>
        <w:spacing w:line="560" w:lineRule="exact"/>
        <w:ind w:right="-42" w:rightChars="-20"/>
        <w:jc w:val="center"/>
        <w:rPr>
          <w:rFonts w:eastAsia="方正小标宋简体"/>
          <w:b/>
          <w:sz w:val="44"/>
          <w:szCs w:val="44"/>
        </w:rPr>
      </w:pPr>
      <w:r>
        <w:rPr>
          <w:rFonts w:eastAsia="方正小标宋简体"/>
          <w:b/>
          <w:sz w:val="44"/>
          <w:szCs w:val="44"/>
        </w:rPr>
        <w:t>成交确认书</w:t>
      </w:r>
    </w:p>
    <w:p w14:paraId="041380A7">
      <w:pPr>
        <w:spacing w:line="120" w:lineRule="exact"/>
        <w:ind w:right="-42" w:rightChars="-20"/>
        <w:jc w:val="center"/>
        <w:rPr>
          <w:rFonts w:eastAsia="方正小标宋简体"/>
          <w:b/>
          <w:sz w:val="44"/>
          <w:szCs w:val="44"/>
        </w:rPr>
      </w:pPr>
    </w:p>
    <w:p w14:paraId="0177ADCA">
      <w:pPr>
        <w:spacing w:line="460" w:lineRule="exact"/>
        <w:jc w:val="right"/>
        <w:rPr>
          <w:rFonts w:eastAsia="仿宋_GB2312"/>
          <w:sz w:val="32"/>
          <w:szCs w:val="32"/>
        </w:rPr>
      </w:pPr>
      <w:r>
        <w:rPr>
          <w:rFonts w:eastAsia="仿宋_GB2312"/>
          <w:sz w:val="32"/>
          <w:szCs w:val="32"/>
        </w:rPr>
        <w:t>乐土矿成字〔  〕 号</w:t>
      </w:r>
    </w:p>
    <w:p w14:paraId="125660DA">
      <w:pPr>
        <w:spacing w:line="120" w:lineRule="exact"/>
        <w:ind w:firstLine="640" w:firstLineChars="200"/>
        <w:rPr>
          <w:rFonts w:eastAsia="黑体"/>
          <w:sz w:val="32"/>
          <w:szCs w:val="32"/>
        </w:rPr>
      </w:pPr>
    </w:p>
    <w:p w14:paraId="235A72B0">
      <w:pPr>
        <w:spacing w:line="400" w:lineRule="exact"/>
        <w:ind w:firstLine="640" w:firstLineChars="200"/>
        <w:rPr>
          <w:rFonts w:eastAsia="仿宋_GB2312"/>
          <w:kern w:val="0"/>
          <w:sz w:val="32"/>
          <w:szCs w:val="32"/>
        </w:rPr>
      </w:pPr>
      <w:r>
        <w:rPr>
          <w:rFonts w:eastAsia="黑体"/>
          <w:sz w:val="32"/>
          <w:szCs w:val="32"/>
        </w:rPr>
        <w:t>一、</w:t>
      </w:r>
      <w:r>
        <w:rPr>
          <w:rFonts w:eastAsia="仿宋_GB2312"/>
          <w:kern w:val="0"/>
          <w:sz w:val="32"/>
          <w:szCs w:val="32"/>
          <w:u w:val="single"/>
        </w:rPr>
        <w:t xml:space="preserve">（竞得人名称）  </w:t>
      </w:r>
      <w:r>
        <w:rPr>
          <w:rFonts w:eastAsia="仿宋_GB2312"/>
          <w:kern w:val="0"/>
          <w:sz w:val="32"/>
          <w:szCs w:val="32"/>
        </w:rPr>
        <w:t>于</w:t>
      </w:r>
      <w:r>
        <w:rPr>
          <w:rFonts w:eastAsia="仿宋_GB2312"/>
          <w:kern w:val="0"/>
          <w:sz w:val="32"/>
          <w:szCs w:val="32"/>
          <w:u w:val="single"/>
        </w:rPr>
        <w:t xml:space="preserve">     </w:t>
      </w:r>
      <w:r>
        <w:rPr>
          <w:rFonts w:eastAsia="仿宋_GB2312"/>
          <w:kern w:val="0"/>
          <w:sz w:val="32"/>
          <w:szCs w:val="32"/>
        </w:rPr>
        <w:t>年</w:t>
      </w:r>
      <w:r>
        <w:rPr>
          <w:rFonts w:eastAsia="仿宋_GB2312"/>
          <w:kern w:val="0"/>
          <w:sz w:val="32"/>
          <w:szCs w:val="32"/>
          <w:u w:val="single"/>
        </w:rPr>
        <w:t xml:space="preserve">     </w:t>
      </w:r>
      <w:r>
        <w:rPr>
          <w:rFonts w:eastAsia="仿宋_GB2312"/>
          <w:kern w:val="0"/>
          <w:sz w:val="32"/>
          <w:szCs w:val="32"/>
        </w:rPr>
        <w:t>月</w:t>
      </w:r>
      <w:r>
        <w:rPr>
          <w:rFonts w:eastAsia="仿宋_GB2312"/>
          <w:kern w:val="0"/>
          <w:sz w:val="32"/>
          <w:szCs w:val="32"/>
          <w:u w:val="single"/>
        </w:rPr>
        <w:t xml:space="preserve">     </w:t>
      </w:r>
      <w:r>
        <w:rPr>
          <w:rFonts w:eastAsia="仿宋_GB2312"/>
          <w:kern w:val="0"/>
          <w:sz w:val="32"/>
          <w:szCs w:val="32"/>
        </w:rPr>
        <w:t>日09:00起至</w:t>
      </w:r>
    </w:p>
    <w:p w14:paraId="36F92B34">
      <w:pPr>
        <w:spacing w:line="400" w:lineRule="exact"/>
        <w:rPr>
          <w:rFonts w:eastAsia="仿宋_GB2312"/>
          <w:sz w:val="32"/>
          <w:szCs w:val="32"/>
        </w:rPr>
      </w:pPr>
      <w:r>
        <w:rPr>
          <w:rFonts w:eastAsia="仿宋_GB2312"/>
          <w:kern w:val="0"/>
          <w:sz w:val="32"/>
          <w:szCs w:val="32"/>
          <w:u w:val="single"/>
        </w:rPr>
        <w:t xml:space="preserve">    </w:t>
      </w:r>
      <w:r>
        <w:rPr>
          <w:rFonts w:eastAsia="仿宋_GB2312"/>
          <w:kern w:val="0"/>
          <w:sz w:val="32"/>
          <w:szCs w:val="32"/>
        </w:rPr>
        <w:t>年</w:t>
      </w:r>
      <w:r>
        <w:rPr>
          <w:rFonts w:eastAsia="仿宋_GB2312"/>
          <w:kern w:val="0"/>
          <w:sz w:val="32"/>
          <w:szCs w:val="32"/>
          <w:u w:val="single"/>
        </w:rPr>
        <w:t xml:space="preserve">   </w:t>
      </w:r>
      <w:r>
        <w:rPr>
          <w:rFonts w:eastAsia="仿宋_GB2312"/>
          <w:kern w:val="0"/>
          <w:sz w:val="32"/>
          <w:szCs w:val="32"/>
        </w:rPr>
        <w:t>月</w:t>
      </w:r>
      <w:r>
        <w:rPr>
          <w:rFonts w:eastAsia="仿宋_GB2312"/>
          <w:kern w:val="0"/>
          <w:sz w:val="32"/>
          <w:szCs w:val="32"/>
          <w:u w:val="single"/>
        </w:rPr>
        <w:t xml:space="preserve">   </w:t>
      </w:r>
      <w:r>
        <w:rPr>
          <w:rFonts w:eastAsia="仿宋_GB2312"/>
          <w:kern w:val="0"/>
          <w:sz w:val="32"/>
          <w:szCs w:val="32"/>
        </w:rPr>
        <w:t>日10:00 止</w:t>
      </w:r>
      <w:r>
        <w:rPr>
          <w:rFonts w:ascii="Times New Roman" w:hAnsi="Times New Roman" w:eastAsia="仿宋_GB2312" w:cs="Times New Roman"/>
          <w:sz w:val="32"/>
          <w:szCs w:val="32"/>
        </w:rPr>
        <w:t>在</w:t>
      </w:r>
      <w:r>
        <w:rPr>
          <w:rFonts w:hint="default" w:ascii="Times New Roman" w:hAnsi="Times New Roman" w:eastAsia="仿宋_GB2312" w:cs="Times New Roman"/>
          <w:kern w:val="0"/>
          <w:sz w:val="32"/>
          <w:szCs w:val="32"/>
        </w:rPr>
        <w:t>乐山市市中区柏杨东路199号乐山市土地矿权交易市场</w:t>
      </w:r>
      <w:r>
        <w:rPr>
          <w:rFonts w:ascii="Times New Roman" w:hAnsi="Times New Roman" w:eastAsia="仿宋_GB2312" w:cs="Times New Roman"/>
          <w:sz w:val="32"/>
          <w:szCs w:val="32"/>
        </w:rPr>
        <w:t>以挂</w:t>
      </w:r>
      <w:r>
        <w:rPr>
          <w:rFonts w:eastAsia="仿宋_GB2312"/>
          <w:sz w:val="32"/>
          <w:szCs w:val="32"/>
        </w:rPr>
        <w:t>牌方式公开竞得下列国有建设用地使用权</w:t>
      </w:r>
      <w:r>
        <w:rPr>
          <w:rFonts w:eastAsia="仿宋_GB2312"/>
          <w:kern w:val="0"/>
          <w:sz w:val="32"/>
          <w:szCs w:val="32"/>
        </w:rPr>
        <w:t>，现将有关事项确认如下：</w:t>
      </w:r>
    </w:p>
    <w:tbl>
      <w:tblPr>
        <w:tblStyle w:val="16"/>
        <w:tblpPr w:leftFromText="180" w:rightFromText="180" w:vertAnchor="text" w:horzAnchor="page" w:tblpXSpec="center" w:tblpY="270"/>
        <w:tblOverlap w:val="never"/>
        <w:tblW w:w="9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469"/>
        <w:gridCol w:w="1846"/>
        <w:gridCol w:w="2709"/>
      </w:tblGrid>
      <w:tr w14:paraId="45EFC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2093" w:type="dxa"/>
            <w:vAlign w:val="center"/>
          </w:tcPr>
          <w:p w14:paraId="64DAD265">
            <w:pPr>
              <w:spacing w:line="360" w:lineRule="exact"/>
              <w:jc w:val="center"/>
              <w:rPr>
                <w:sz w:val="24"/>
              </w:rPr>
            </w:pPr>
            <w:r>
              <w:rPr>
                <w:sz w:val="24"/>
              </w:rPr>
              <w:t>宗地位置</w:t>
            </w:r>
          </w:p>
        </w:tc>
        <w:tc>
          <w:tcPr>
            <w:tcW w:w="2469" w:type="dxa"/>
            <w:vAlign w:val="center"/>
          </w:tcPr>
          <w:p w14:paraId="5C200827">
            <w:pPr>
              <w:spacing w:line="360" w:lineRule="exact"/>
              <w:jc w:val="center"/>
              <w:rPr>
                <w:szCs w:val="21"/>
              </w:rPr>
            </w:pPr>
          </w:p>
        </w:tc>
        <w:tc>
          <w:tcPr>
            <w:tcW w:w="1846" w:type="dxa"/>
            <w:vAlign w:val="center"/>
          </w:tcPr>
          <w:p w14:paraId="5530C1FA">
            <w:pPr>
              <w:spacing w:line="360" w:lineRule="exact"/>
              <w:jc w:val="center"/>
              <w:rPr>
                <w:sz w:val="24"/>
              </w:rPr>
            </w:pPr>
            <w:r>
              <w:rPr>
                <w:sz w:val="24"/>
              </w:rPr>
              <w:t>宗地面积</w:t>
            </w:r>
          </w:p>
        </w:tc>
        <w:tc>
          <w:tcPr>
            <w:tcW w:w="2709" w:type="dxa"/>
            <w:vAlign w:val="center"/>
          </w:tcPr>
          <w:p w14:paraId="1E411F01">
            <w:pPr>
              <w:widowControl/>
              <w:spacing w:line="300" w:lineRule="atLeast"/>
              <w:jc w:val="center"/>
              <w:rPr>
                <w:kern w:val="0"/>
                <w:sz w:val="18"/>
                <w:szCs w:val="18"/>
              </w:rPr>
            </w:pPr>
          </w:p>
        </w:tc>
      </w:tr>
      <w:tr w14:paraId="2C035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2093" w:type="dxa"/>
            <w:vAlign w:val="center"/>
          </w:tcPr>
          <w:p w14:paraId="2A5B8FB5">
            <w:pPr>
              <w:spacing w:line="360" w:lineRule="exact"/>
              <w:jc w:val="center"/>
              <w:rPr>
                <w:sz w:val="24"/>
              </w:rPr>
            </w:pPr>
            <w:r>
              <w:rPr>
                <w:sz w:val="24"/>
              </w:rPr>
              <w:t>宗地用途</w:t>
            </w:r>
          </w:p>
          <w:p w14:paraId="6BD46CEE">
            <w:pPr>
              <w:spacing w:line="360" w:lineRule="exact"/>
              <w:jc w:val="center"/>
              <w:rPr>
                <w:sz w:val="24"/>
              </w:rPr>
            </w:pPr>
            <w:r>
              <w:rPr>
                <w:sz w:val="24"/>
              </w:rPr>
              <w:t>及使用年期</w:t>
            </w:r>
          </w:p>
        </w:tc>
        <w:tc>
          <w:tcPr>
            <w:tcW w:w="2469" w:type="dxa"/>
            <w:vAlign w:val="center"/>
          </w:tcPr>
          <w:p w14:paraId="498EE871">
            <w:pPr>
              <w:spacing w:line="360" w:lineRule="exact"/>
              <w:jc w:val="center"/>
              <w:rPr>
                <w:szCs w:val="21"/>
              </w:rPr>
            </w:pPr>
          </w:p>
        </w:tc>
        <w:tc>
          <w:tcPr>
            <w:tcW w:w="1846" w:type="dxa"/>
            <w:vAlign w:val="center"/>
          </w:tcPr>
          <w:p w14:paraId="5CEE1FBA">
            <w:pPr>
              <w:spacing w:line="360" w:lineRule="exact"/>
              <w:jc w:val="center"/>
              <w:rPr>
                <w:sz w:val="24"/>
              </w:rPr>
            </w:pPr>
            <w:r>
              <w:rPr>
                <w:sz w:val="24"/>
              </w:rPr>
              <w:t>使用权类型</w:t>
            </w:r>
          </w:p>
        </w:tc>
        <w:tc>
          <w:tcPr>
            <w:tcW w:w="2709" w:type="dxa"/>
            <w:vAlign w:val="center"/>
          </w:tcPr>
          <w:p w14:paraId="2444ACFB">
            <w:pPr>
              <w:spacing w:line="360" w:lineRule="exact"/>
              <w:jc w:val="center"/>
              <w:rPr>
                <w:sz w:val="24"/>
              </w:rPr>
            </w:pPr>
            <w:r>
              <w:rPr>
                <w:sz w:val="24"/>
              </w:rPr>
              <w:t>出让</w:t>
            </w:r>
          </w:p>
        </w:tc>
      </w:tr>
      <w:tr w14:paraId="4B4DA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2093" w:type="dxa"/>
            <w:vAlign w:val="center"/>
          </w:tcPr>
          <w:p w14:paraId="51B7E851">
            <w:pPr>
              <w:spacing w:line="360" w:lineRule="exact"/>
              <w:jc w:val="center"/>
              <w:rPr>
                <w:sz w:val="24"/>
              </w:rPr>
            </w:pPr>
            <w:r>
              <w:rPr>
                <w:sz w:val="24"/>
              </w:rPr>
              <w:t>容积率</w:t>
            </w:r>
          </w:p>
        </w:tc>
        <w:tc>
          <w:tcPr>
            <w:tcW w:w="2469" w:type="dxa"/>
            <w:vAlign w:val="center"/>
          </w:tcPr>
          <w:p w14:paraId="5C1D3E61">
            <w:pPr>
              <w:spacing w:line="360" w:lineRule="exact"/>
              <w:jc w:val="center"/>
              <w:rPr>
                <w:sz w:val="24"/>
              </w:rPr>
            </w:pPr>
          </w:p>
        </w:tc>
        <w:tc>
          <w:tcPr>
            <w:tcW w:w="1846" w:type="dxa"/>
            <w:vAlign w:val="center"/>
          </w:tcPr>
          <w:p w14:paraId="1C8859A2">
            <w:pPr>
              <w:spacing w:line="360" w:lineRule="exact"/>
              <w:jc w:val="center"/>
              <w:rPr>
                <w:sz w:val="24"/>
              </w:rPr>
            </w:pPr>
            <w:r>
              <w:rPr>
                <w:sz w:val="24"/>
              </w:rPr>
              <w:t>建筑密度</w:t>
            </w:r>
          </w:p>
        </w:tc>
        <w:tc>
          <w:tcPr>
            <w:tcW w:w="2709" w:type="dxa"/>
            <w:vAlign w:val="center"/>
          </w:tcPr>
          <w:p w14:paraId="12B99B13">
            <w:pPr>
              <w:spacing w:line="360" w:lineRule="exact"/>
              <w:jc w:val="center"/>
              <w:rPr>
                <w:sz w:val="24"/>
              </w:rPr>
            </w:pPr>
          </w:p>
        </w:tc>
      </w:tr>
      <w:tr w14:paraId="2B239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2093" w:type="dxa"/>
            <w:vAlign w:val="center"/>
          </w:tcPr>
          <w:p w14:paraId="29421BF5">
            <w:pPr>
              <w:spacing w:line="360" w:lineRule="exact"/>
              <w:jc w:val="center"/>
              <w:rPr>
                <w:sz w:val="24"/>
              </w:rPr>
            </w:pPr>
            <w:r>
              <w:rPr>
                <w:sz w:val="24"/>
              </w:rPr>
              <w:t>绿地率</w:t>
            </w:r>
          </w:p>
        </w:tc>
        <w:tc>
          <w:tcPr>
            <w:tcW w:w="2469" w:type="dxa"/>
            <w:vAlign w:val="center"/>
          </w:tcPr>
          <w:p w14:paraId="0E42370A">
            <w:pPr>
              <w:spacing w:line="360" w:lineRule="exact"/>
              <w:jc w:val="center"/>
              <w:rPr>
                <w:sz w:val="24"/>
              </w:rPr>
            </w:pPr>
          </w:p>
        </w:tc>
        <w:tc>
          <w:tcPr>
            <w:tcW w:w="1846" w:type="dxa"/>
            <w:vAlign w:val="center"/>
          </w:tcPr>
          <w:p w14:paraId="150678EF">
            <w:pPr>
              <w:spacing w:line="360" w:lineRule="exact"/>
              <w:jc w:val="center"/>
              <w:rPr>
                <w:sz w:val="24"/>
              </w:rPr>
            </w:pPr>
            <w:r>
              <w:rPr>
                <w:sz w:val="24"/>
              </w:rPr>
              <w:t>建筑控制高度</w:t>
            </w:r>
          </w:p>
        </w:tc>
        <w:tc>
          <w:tcPr>
            <w:tcW w:w="2709" w:type="dxa"/>
            <w:vAlign w:val="center"/>
          </w:tcPr>
          <w:p w14:paraId="11F651B9">
            <w:pPr>
              <w:spacing w:line="360" w:lineRule="exact"/>
              <w:jc w:val="center"/>
              <w:rPr>
                <w:sz w:val="24"/>
              </w:rPr>
            </w:pPr>
          </w:p>
        </w:tc>
      </w:tr>
      <w:tr w14:paraId="78430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9117" w:type="dxa"/>
            <w:gridSpan w:val="4"/>
            <w:vAlign w:val="center"/>
          </w:tcPr>
          <w:p w14:paraId="4BFA65B2">
            <w:pPr>
              <w:spacing w:line="360" w:lineRule="exact"/>
              <w:jc w:val="center"/>
              <w:rPr>
                <w:sz w:val="28"/>
                <w:szCs w:val="28"/>
              </w:rPr>
            </w:pPr>
            <w:r>
              <w:rPr>
                <w:sz w:val="28"/>
                <w:szCs w:val="28"/>
              </w:rPr>
              <w:t>成交价款（大写）：  仟   佰   拾   万元整（小写:</w:t>
            </w:r>
            <w:r>
              <w:rPr>
                <w:rFonts w:eastAsia="仿宋_GB2312"/>
                <w:sz w:val="28"/>
                <w:szCs w:val="28"/>
              </w:rPr>
              <w:t>¥</w:t>
            </w:r>
            <w:r>
              <w:rPr>
                <w:sz w:val="28"/>
                <w:szCs w:val="28"/>
              </w:rPr>
              <w:t xml:space="preserve">         ）</w:t>
            </w:r>
          </w:p>
        </w:tc>
      </w:tr>
    </w:tbl>
    <w:p w14:paraId="57529B31">
      <w:pPr>
        <w:spacing w:line="400" w:lineRule="exact"/>
        <w:ind w:firstLine="640" w:firstLineChars="200"/>
        <w:rPr>
          <w:rFonts w:eastAsia="仿宋_GB2312"/>
          <w:sz w:val="32"/>
          <w:szCs w:val="32"/>
        </w:rPr>
      </w:pPr>
      <w:r>
        <w:rPr>
          <w:rFonts w:eastAsia="黑体"/>
          <w:sz w:val="32"/>
          <w:szCs w:val="32"/>
        </w:rPr>
        <w:t>二、</w:t>
      </w:r>
      <w:r>
        <w:rPr>
          <w:rFonts w:eastAsia="仿宋_GB2312"/>
          <w:sz w:val="32"/>
          <w:szCs w:val="32"/>
        </w:rPr>
        <w:t>竞得人所缴纳的竞买保证金用于支付交易服务费后的剩余部分转作受让地块的定金。</w:t>
      </w:r>
    </w:p>
    <w:p w14:paraId="3DB16C47">
      <w:pPr>
        <w:spacing w:line="400" w:lineRule="exact"/>
        <w:ind w:firstLine="640" w:firstLineChars="200"/>
        <w:rPr>
          <w:rFonts w:eastAsia="仿宋_GB2312"/>
          <w:sz w:val="32"/>
          <w:szCs w:val="32"/>
        </w:rPr>
      </w:pPr>
      <w:r>
        <w:rPr>
          <w:rFonts w:eastAsia="黑体"/>
          <w:sz w:val="32"/>
          <w:szCs w:val="32"/>
        </w:rPr>
        <w:t>三、</w:t>
      </w:r>
      <w:r>
        <w:rPr>
          <w:rFonts w:eastAsia="仿宋_GB2312"/>
          <w:sz w:val="32"/>
          <w:szCs w:val="32"/>
        </w:rPr>
        <w:t>竞得人必须按《挂牌文件》约定的时间及要求与出让人签订《国有建设用地使用权出让合同》。竞得人逾期不签订《国有建设用地使用权出让合同》的，出让人终止供地、不退还定金。</w:t>
      </w:r>
    </w:p>
    <w:p w14:paraId="6D401359">
      <w:pPr>
        <w:spacing w:line="400" w:lineRule="exact"/>
        <w:ind w:firstLine="640" w:firstLineChars="200"/>
        <w:rPr>
          <w:rFonts w:eastAsia="仿宋_GB2312"/>
          <w:sz w:val="32"/>
          <w:szCs w:val="32"/>
        </w:rPr>
      </w:pPr>
      <w:r>
        <w:rPr>
          <w:rFonts w:eastAsia="黑体"/>
          <w:sz w:val="32"/>
          <w:szCs w:val="32"/>
        </w:rPr>
        <w:t>四、</w:t>
      </w:r>
      <w:r>
        <w:rPr>
          <w:rFonts w:eastAsia="仿宋_GB2312"/>
          <w:sz w:val="32"/>
          <w:szCs w:val="32"/>
        </w:rPr>
        <w:t>本</w:t>
      </w:r>
      <w:r>
        <w:rPr>
          <w:rFonts w:eastAsia="仿宋_GB2312"/>
          <w:bCs/>
          <w:sz w:val="32"/>
          <w:szCs w:val="32"/>
        </w:rPr>
        <w:t>《成交确认书》</w:t>
      </w:r>
      <w:r>
        <w:rPr>
          <w:rFonts w:eastAsia="仿宋_GB2312"/>
          <w:sz w:val="32"/>
          <w:szCs w:val="32"/>
        </w:rPr>
        <w:t>一式</w:t>
      </w:r>
      <w:r>
        <w:rPr>
          <w:rFonts w:eastAsia="仿宋_GB2312"/>
          <w:sz w:val="32"/>
          <w:szCs w:val="32"/>
          <w:u w:val="single"/>
        </w:rPr>
        <w:t xml:space="preserve">  </w:t>
      </w:r>
      <w:r>
        <w:rPr>
          <w:rFonts w:eastAsia="仿宋_GB2312"/>
          <w:sz w:val="32"/>
          <w:szCs w:val="32"/>
        </w:rPr>
        <w:t>份，经交易中心和竞得人签字盖章后生效。若双方发生争议或违约，提请乐山仲裁委员会仲裁。</w:t>
      </w:r>
    </w:p>
    <w:p w14:paraId="19F2EB2A">
      <w:pPr>
        <w:spacing w:line="400" w:lineRule="exact"/>
        <w:ind w:firstLine="640" w:firstLineChars="200"/>
        <w:rPr>
          <w:rFonts w:eastAsia="仿宋_GB2312"/>
          <w:sz w:val="32"/>
          <w:szCs w:val="32"/>
        </w:rPr>
      </w:pPr>
    </w:p>
    <w:p w14:paraId="208F8521">
      <w:pPr>
        <w:spacing w:line="400" w:lineRule="exact"/>
        <w:ind w:firstLine="320" w:firstLineChars="100"/>
        <w:rPr>
          <w:rFonts w:eastAsia="仿宋_GB2312"/>
          <w:sz w:val="32"/>
          <w:szCs w:val="32"/>
        </w:rPr>
      </w:pPr>
      <w:r>
        <w:rPr>
          <w:rFonts w:eastAsia="仿宋_GB2312"/>
          <w:sz w:val="32"/>
          <w:szCs w:val="32"/>
        </w:rPr>
        <w:t>交易机构（盖章）：            竞得人（盖章）：</w:t>
      </w:r>
    </w:p>
    <w:p w14:paraId="7611B0D0">
      <w:pPr>
        <w:spacing w:line="400" w:lineRule="exact"/>
        <w:ind w:firstLine="320" w:firstLineChars="100"/>
        <w:rPr>
          <w:rFonts w:eastAsia="仿宋_GB2312"/>
          <w:sz w:val="32"/>
          <w:szCs w:val="32"/>
        </w:rPr>
      </w:pPr>
    </w:p>
    <w:p w14:paraId="3CCD3F4A">
      <w:pPr>
        <w:spacing w:line="400" w:lineRule="exact"/>
        <w:ind w:firstLine="320" w:firstLineChars="100"/>
        <w:rPr>
          <w:rFonts w:eastAsia="仿宋_GB2312"/>
          <w:sz w:val="32"/>
          <w:szCs w:val="32"/>
        </w:rPr>
      </w:pPr>
      <w:r>
        <w:rPr>
          <w:rFonts w:eastAsia="仿宋_GB2312"/>
          <w:sz w:val="32"/>
          <w:szCs w:val="32"/>
        </w:rPr>
        <w:t>法定代表人（签字）：          法定代表人（签字）：</w:t>
      </w:r>
    </w:p>
    <w:p w14:paraId="1A5A5256">
      <w:pPr>
        <w:spacing w:line="400" w:lineRule="exact"/>
        <w:ind w:firstLine="320" w:firstLineChars="100"/>
        <w:rPr>
          <w:rFonts w:eastAsia="仿宋_GB2312"/>
          <w:sz w:val="32"/>
          <w:szCs w:val="32"/>
        </w:rPr>
      </w:pPr>
    </w:p>
    <w:p w14:paraId="5D45CD0F">
      <w:pPr>
        <w:spacing w:line="400" w:lineRule="exact"/>
        <w:ind w:firstLine="320" w:firstLineChars="100"/>
        <w:rPr>
          <w:rFonts w:eastAsia="仿宋_GB2312"/>
          <w:sz w:val="32"/>
          <w:szCs w:val="32"/>
        </w:rPr>
      </w:pPr>
      <w:r>
        <w:rPr>
          <w:rFonts w:eastAsia="仿宋_GB2312"/>
          <w:sz w:val="32"/>
          <w:szCs w:val="32"/>
        </w:rPr>
        <w:t>代表人（签字）：              代表人（签字）：</w:t>
      </w:r>
    </w:p>
    <w:p w14:paraId="44D1AC71">
      <w:pPr>
        <w:spacing w:line="400" w:lineRule="exact"/>
        <w:rPr>
          <w:rFonts w:eastAsia="仿宋_GB2312"/>
          <w:sz w:val="32"/>
          <w:szCs w:val="32"/>
        </w:rPr>
      </w:pPr>
      <w:r>
        <w:rPr>
          <w:rFonts w:eastAsia="仿宋_GB2312"/>
          <w:sz w:val="32"/>
          <w:szCs w:val="32"/>
        </w:rPr>
        <w:t xml:space="preserve">                             </w:t>
      </w:r>
    </w:p>
    <w:p w14:paraId="243C97C0">
      <w:pPr>
        <w:spacing w:line="400" w:lineRule="exact"/>
        <w:ind w:firstLine="6080" w:firstLineChars="1900"/>
        <w:rPr>
          <w:rFonts w:eastAsia="仿宋_GB2312"/>
          <w:sz w:val="32"/>
          <w:szCs w:val="32"/>
        </w:rPr>
      </w:pPr>
      <w:r>
        <w:rPr>
          <w:rFonts w:eastAsia="仿宋_GB2312"/>
          <w:sz w:val="32"/>
          <w:szCs w:val="32"/>
        </w:rPr>
        <w:t xml:space="preserve"> 年   月   日</w:t>
      </w:r>
    </w:p>
    <w:p w14:paraId="0596BC54">
      <w:pPr>
        <w:spacing w:line="560" w:lineRule="exact"/>
        <w:ind w:right="-42" w:rightChars="-20"/>
        <w:jc w:val="center"/>
        <w:rPr>
          <w:rFonts w:eastAsia="方正小标宋简体"/>
          <w:b/>
          <w:sz w:val="44"/>
          <w:szCs w:val="44"/>
        </w:rPr>
      </w:pPr>
      <w:r>
        <w:rPr>
          <w:rFonts w:eastAsia="方正小标宋简体"/>
          <w:b/>
          <w:sz w:val="44"/>
          <w:szCs w:val="44"/>
        </w:rPr>
        <w:t>授权委托书</w:t>
      </w:r>
    </w:p>
    <w:tbl>
      <w:tblPr>
        <w:tblStyle w:val="16"/>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720"/>
        <w:gridCol w:w="2700"/>
        <w:gridCol w:w="1440"/>
        <w:gridCol w:w="2880"/>
      </w:tblGrid>
      <w:tr w14:paraId="27D10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4140" w:type="dxa"/>
            <w:gridSpan w:val="3"/>
          </w:tcPr>
          <w:p w14:paraId="0205FABD">
            <w:pPr>
              <w:spacing w:line="560" w:lineRule="exact"/>
              <w:jc w:val="center"/>
              <w:rPr>
                <w:rFonts w:eastAsia="仿宋_GB2312"/>
                <w:b/>
                <w:sz w:val="32"/>
                <w:szCs w:val="32"/>
              </w:rPr>
            </w:pPr>
            <w:r>
              <w:rPr>
                <w:rFonts w:eastAsia="仿宋_GB2312"/>
                <w:b/>
                <w:sz w:val="32"/>
                <w:szCs w:val="32"/>
              </w:rPr>
              <w:t>委托人</w:t>
            </w:r>
          </w:p>
        </w:tc>
        <w:tc>
          <w:tcPr>
            <w:tcW w:w="4320" w:type="dxa"/>
            <w:gridSpan w:val="2"/>
          </w:tcPr>
          <w:p w14:paraId="7A1235FC">
            <w:pPr>
              <w:spacing w:line="560" w:lineRule="exact"/>
              <w:jc w:val="center"/>
              <w:rPr>
                <w:rFonts w:eastAsia="仿宋_GB2312"/>
                <w:b/>
                <w:sz w:val="32"/>
                <w:szCs w:val="32"/>
              </w:rPr>
            </w:pPr>
            <w:r>
              <w:rPr>
                <w:rFonts w:eastAsia="仿宋_GB2312"/>
                <w:b/>
                <w:sz w:val="32"/>
                <w:szCs w:val="32"/>
              </w:rPr>
              <w:t>受托人</w:t>
            </w:r>
          </w:p>
        </w:tc>
      </w:tr>
      <w:tr w14:paraId="62ED9C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6BD407C5">
            <w:pPr>
              <w:spacing w:line="560" w:lineRule="exact"/>
              <w:jc w:val="center"/>
              <w:rPr>
                <w:rFonts w:eastAsia="仿宋_GB2312"/>
                <w:b/>
                <w:sz w:val="30"/>
                <w:szCs w:val="30"/>
              </w:rPr>
            </w:pPr>
            <w:r>
              <w:rPr>
                <w:rFonts w:eastAsia="仿宋_GB2312"/>
                <w:b/>
                <w:sz w:val="30"/>
                <w:szCs w:val="30"/>
              </w:rPr>
              <w:t>姓    名</w:t>
            </w:r>
          </w:p>
        </w:tc>
        <w:tc>
          <w:tcPr>
            <w:tcW w:w="2700" w:type="dxa"/>
            <w:vAlign w:val="center"/>
          </w:tcPr>
          <w:p w14:paraId="1314A831">
            <w:pPr>
              <w:spacing w:line="560" w:lineRule="exact"/>
              <w:jc w:val="center"/>
              <w:rPr>
                <w:rFonts w:eastAsia="仿宋_GB2312"/>
                <w:b/>
                <w:sz w:val="44"/>
                <w:szCs w:val="44"/>
              </w:rPr>
            </w:pPr>
          </w:p>
        </w:tc>
        <w:tc>
          <w:tcPr>
            <w:tcW w:w="1440" w:type="dxa"/>
            <w:vAlign w:val="center"/>
          </w:tcPr>
          <w:p w14:paraId="61EB1C54">
            <w:pPr>
              <w:spacing w:line="560" w:lineRule="exact"/>
              <w:jc w:val="center"/>
              <w:rPr>
                <w:rFonts w:eastAsia="仿宋_GB2312"/>
                <w:b/>
                <w:sz w:val="30"/>
                <w:szCs w:val="30"/>
              </w:rPr>
            </w:pPr>
            <w:r>
              <w:rPr>
                <w:rFonts w:eastAsia="仿宋_GB2312"/>
                <w:b/>
                <w:sz w:val="30"/>
                <w:szCs w:val="30"/>
              </w:rPr>
              <w:t>姓    名</w:t>
            </w:r>
          </w:p>
        </w:tc>
        <w:tc>
          <w:tcPr>
            <w:tcW w:w="2880" w:type="dxa"/>
            <w:vAlign w:val="center"/>
          </w:tcPr>
          <w:p w14:paraId="52610D20">
            <w:pPr>
              <w:spacing w:line="560" w:lineRule="exact"/>
              <w:jc w:val="center"/>
              <w:rPr>
                <w:rFonts w:eastAsia="仿宋_GB2312"/>
                <w:b/>
                <w:sz w:val="44"/>
                <w:szCs w:val="44"/>
              </w:rPr>
            </w:pPr>
          </w:p>
        </w:tc>
      </w:tr>
      <w:tr w14:paraId="6BD6B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229CBF0D">
            <w:pPr>
              <w:spacing w:line="560" w:lineRule="exact"/>
              <w:jc w:val="center"/>
              <w:rPr>
                <w:rFonts w:eastAsia="仿宋_GB2312"/>
                <w:b/>
                <w:sz w:val="30"/>
                <w:szCs w:val="30"/>
              </w:rPr>
            </w:pPr>
            <w:r>
              <w:rPr>
                <w:rFonts w:eastAsia="仿宋_GB2312"/>
                <w:b/>
                <w:sz w:val="30"/>
                <w:szCs w:val="30"/>
              </w:rPr>
              <w:t>性    别</w:t>
            </w:r>
          </w:p>
        </w:tc>
        <w:tc>
          <w:tcPr>
            <w:tcW w:w="2700" w:type="dxa"/>
            <w:vAlign w:val="center"/>
          </w:tcPr>
          <w:p w14:paraId="3BAC51EB">
            <w:pPr>
              <w:spacing w:line="560" w:lineRule="exact"/>
              <w:jc w:val="center"/>
              <w:rPr>
                <w:rFonts w:eastAsia="仿宋_GB2312"/>
                <w:b/>
                <w:sz w:val="44"/>
                <w:szCs w:val="44"/>
              </w:rPr>
            </w:pPr>
          </w:p>
        </w:tc>
        <w:tc>
          <w:tcPr>
            <w:tcW w:w="1440" w:type="dxa"/>
            <w:vAlign w:val="center"/>
          </w:tcPr>
          <w:p w14:paraId="7913A96C">
            <w:pPr>
              <w:spacing w:line="560" w:lineRule="exact"/>
              <w:jc w:val="center"/>
              <w:rPr>
                <w:rFonts w:eastAsia="仿宋_GB2312"/>
                <w:b/>
                <w:sz w:val="30"/>
                <w:szCs w:val="30"/>
              </w:rPr>
            </w:pPr>
            <w:r>
              <w:rPr>
                <w:rFonts w:eastAsia="仿宋_GB2312"/>
                <w:b/>
                <w:sz w:val="30"/>
                <w:szCs w:val="30"/>
              </w:rPr>
              <w:t>性    别</w:t>
            </w:r>
          </w:p>
        </w:tc>
        <w:tc>
          <w:tcPr>
            <w:tcW w:w="2880" w:type="dxa"/>
            <w:vAlign w:val="center"/>
          </w:tcPr>
          <w:p w14:paraId="40E6837A">
            <w:pPr>
              <w:spacing w:line="560" w:lineRule="exact"/>
              <w:jc w:val="center"/>
              <w:rPr>
                <w:rFonts w:eastAsia="仿宋_GB2312"/>
                <w:b/>
                <w:sz w:val="44"/>
                <w:szCs w:val="44"/>
              </w:rPr>
            </w:pPr>
          </w:p>
        </w:tc>
      </w:tr>
      <w:tr w14:paraId="12646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50A15BD7">
            <w:pPr>
              <w:spacing w:line="560" w:lineRule="exact"/>
              <w:jc w:val="center"/>
              <w:rPr>
                <w:rFonts w:eastAsia="仿宋_GB2312"/>
                <w:b/>
                <w:sz w:val="30"/>
                <w:szCs w:val="30"/>
              </w:rPr>
            </w:pPr>
            <w:r>
              <w:rPr>
                <w:rFonts w:eastAsia="仿宋_GB2312"/>
                <w:b/>
                <w:sz w:val="30"/>
                <w:szCs w:val="30"/>
              </w:rPr>
              <w:t>出生日期</w:t>
            </w:r>
          </w:p>
        </w:tc>
        <w:tc>
          <w:tcPr>
            <w:tcW w:w="2700" w:type="dxa"/>
            <w:vAlign w:val="center"/>
          </w:tcPr>
          <w:p w14:paraId="43A052FB">
            <w:pPr>
              <w:spacing w:line="560" w:lineRule="exact"/>
              <w:jc w:val="center"/>
              <w:rPr>
                <w:rFonts w:eastAsia="仿宋_GB2312"/>
                <w:b/>
                <w:sz w:val="44"/>
                <w:szCs w:val="44"/>
              </w:rPr>
            </w:pPr>
          </w:p>
        </w:tc>
        <w:tc>
          <w:tcPr>
            <w:tcW w:w="1440" w:type="dxa"/>
            <w:vAlign w:val="center"/>
          </w:tcPr>
          <w:p w14:paraId="4352B400">
            <w:pPr>
              <w:spacing w:line="560" w:lineRule="exact"/>
              <w:jc w:val="center"/>
              <w:rPr>
                <w:rFonts w:eastAsia="仿宋_GB2312"/>
                <w:b/>
                <w:sz w:val="30"/>
                <w:szCs w:val="30"/>
              </w:rPr>
            </w:pPr>
            <w:r>
              <w:rPr>
                <w:rFonts w:eastAsia="仿宋_GB2312"/>
                <w:b/>
                <w:sz w:val="30"/>
                <w:szCs w:val="30"/>
              </w:rPr>
              <w:t>出生日期</w:t>
            </w:r>
          </w:p>
        </w:tc>
        <w:tc>
          <w:tcPr>
            <w:tcW w:w="2880" w:type="dxa"/>
            <w:vAlign w:val="center"/>
          </w:tcPr>
          <w:p w14:paraId="5257DAF2">
            <w:pPr>
              <w:spacing w:line="560" w:lineRule="exact"/>
              <w:jc w:val="center"/>
              <w:rPr>
                <w:rFonts w:eastAsia="仿宋_GB2312"/>
                <w:b/>
                <w:sz w:val="44"/>
                <w:szCs w:val="44"/>
              </w:rPr>
            </w:pPr>
          </w:p>
        </w:tc>
      </w:tr>
      <w:tr w14:paraId="29B6B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10C59C0E">
            <w:pPr>
              <w:spacing w:line="560" w:lineRule="exact"/>
              <w:jc w:val="center"/>
              <w:rPr>
                <w:rFonts w:eastAsia="仿宋_GB2312"/>
                <w:b/>
                <w:sz w:val="30"/>
                <w:szCs w:val="30"/>
              </w:rPr>
            </w:pPr>
            <w:r>
              <w:rPr>
                <w:rFonts w:eastAsia="仿宋_GB2312"/>
                <w:b/>
                <w:sz w:val="30"/>
                <w:szCs w:val="30"/>
              </w:rPr>
              <w:t>单位名称</w:t>
            </w:r>
          </w:p>
        </w:tc>
        <w:tc>
          <w:tcPr>
            <w:tcW w:w="2700" w:type="dxa"/>
            <w:vAlign w:val="center"/>
          </w:tcPr>
          <w:p w14:paraId="20118659">
            <w:pPr>
              <w:spacing w:line="560" w:lineRule="exact"/>
              <w:jc w:val="center"/>
              <w:rPr>
                <w:rFonts w:eastAsia="仿宋_GB2312"/>
                <w:b/>
                <w:sz w:val="44"/>
                <w:szCs w:val="44"/>
              </w:rPr>
            </w:pPr>
          </w:p>
        </w:tc>
        <w:tc>
          <w:tcPr>
            <w:tcW w:w="1440" w:type="dxa"/>
            <w:vAlign w:val="center"/>
          </w:tcPr>
          <w:p w14:paraId="3972BA78">
            <w:pPr>
              <w:spacing w:line="560" w:lineRule="exact"/>
              <w:jc w:val="center"/>
              <w:rPr>
                <w:rFonts w:eastAsia="仿宋_GB2312"/>
                <w:b/>
                <w:sz w:val="30"/>
                <w:szCs w:val="30"/>
              </w:rPr>
            </w:pPr>
            <w:r>
              <w:rPr>
                <w:rFonts w:eastAsia="仿宋_GB2312"/>
                <w:b/>
                <w:sz w:val="30"/>
                <w:szCs w:val="30"/>
              </w:rPr>
              <w:t>单位名称</w:t>
            </w:r>
          </w:p>
        </w:tc>
        <w:tc>
          <w:tcPr>
            <w:tcW w:w="2880" w:type="dxa"/>
            <w:vAlign w:val="center"/>
          </w:tcPr>
          <w:p w14:paraId="5B9F7D69">
            <w:pPr>
              <w:spacing w:line="560" w:lineRule="exact"/>
              <w:jc w:val="center"/>
              <w:rPr>
                <w:rFonts w:eastAsia="仿宋_GB2312"/>
                <w:b/>
                <w:sz w:val="44"/>
                <w:szCs w:val="44"/>
              </w:rPr>
            </w:pPr>
          </w:p>
        </w:tc>
      </w:tr>
      <w:tr w14:paraId="5B852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75C5D93D">
            <w:pPr>
              <w:spacing w:line="560" w:lineRule="exact"/>
              <w:jc w:val="center"/>
              <w:rPr>
                <w:rFonts w:eastAsia="仿宋_GB2312"/>
                <w:b/>
                <w:sz w:val="30"/>
                <w:szCs w:val="30"/>
              </w:rPr>
            </w:pPr>
            <w:r>
              <w:rPr>
                <w:rFonts w:eastAsia="仿宋_GB2312"/>
                <w:b/>
                <w:sz w:val="30"/>
                <w:szCs w:val="30"/>
              </w:rPr>
              <w:t>职    务</w:t>
            </w:r>
          </w:p>
        </w:tc>
        <w:tc>
          <w:tcPr>
            <w:tcW w:w="2700" w:type="dxa"/>
            <w:vAlign w:val="center"/>
          </w:tcPr>
          <w:p w14:paraId="16DC72AC">
            <w:pPr>
              <w:spacing w:line="560" w:lineRule="exact"/>
              <w:jc w:val="center"/>
              <w:rPr>
                <w:rFonts w:eastAsia="仿宋_GB2312"/>
                <w:b/>
                <w:sz w:val="44"/>
                <w:szCs w:val="44"/>
              </w:rPr>
            </w:pPr>
          </w:p>
        </w:tc>
        <w:tc>
          <w:tcPr>
            <w:tcW w:w="1440" w:type="dxa"/>
            <w:vAlign w:val="center"/>
          </w:tcPr>
          <w:p w14:paraId="2E24649F">
            <w:pPr>
              <w:spacing w:line="560" w:lineRule="exact"/>
              <w:jc w:val="center"/>
              <w:rPr>
                <w:rFonts w:eastAsia="仿宋_GB2312"/>
                <w:b/>
                <w:sz w:val="30"/>
                <w:szCs w:val="30"/>
              </w:rPr>
            </w:pPr>
            <w:r>
              <w:rPr>
                <w:rFonts w:eastAsia="仿宋_GB2312"/>
                <w:b/>
                <w:sz w:val="30"/>
                <w:szCs w:val="30"/>
              </w:rPr>
              <w:t>职    务</w:t>
            </w:r>
          </w:p>
        </w:tc>
        <w:tc>
          <w:tcPr>
            <w:tcW w:w="2880" w:type="dxa"/>
            <w:vAlign w:val="center"/>
          </w:tcPr>
          <w:p w14:paraId="78CDBAC9">
            <w:pPr>
              <w:spacing w:line="560" w:lineRule="exact"/>
              <w:jc w:val="center"/>
              <w:rPr>
                <w:rFonts w:eastAsia="仿宋_GB2312"/>
                <w:b/>
                <w:sz w:val="44"/>
                <w:szCs w:val="44"/>
              </w:rPr>
            </w:pPr>
          </w:p>
        </w:tc>
      </w:tr>
      <w:tr w14:paraId="74201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440" w:type="dxa"/>
            <w:gridSpan w:val="2"/>
            <w:vAlign w:val="center"/>
          </w:tcPr>
          <w:p w14:paraId="0F3F75FF">
            <w:pPr>
              <w:spacing w:line="560" w:lineRule="exact"/>
              <w:jc w:val="center"/>
              <w:rPr>
                <w:rFonts w:eastAsia="仿宋_GB2312"/>
                <w:b/>
                <w:sz w:val="30"/>
                <w:szCs w:val="30"/>
              </w:rPr>
            </w:pPr>
            <w:r>
              <w:rPr>
                <w:rFonts w:eastAsia="仿宋_GB2312"/>
                <w:b/>
                <w:sz w:val="30"/>
                <w:szCs w:val="30"/>
              </w:rPr>
              <w:t>联系方式</w:t>
            </w:r>
          </w:p>
        </w:tc>
        <w:tc>
          <w:tcPr>
            <w:tcW w:w="2700" w:type="dxa"/>
            <w:vAlign w:val="center"/>
          </w:tcPr>
          <w:p w14:paraId="50BFCBD0">
            <w:pPr>
              <w:spacing w:line="560" w:lineRule="exact"/>
              <w:jc w:val="center"/>
              <w:rPr>
                <w:rFonts w:eastAsia="仿宋_GB2312"/>
                <w:b/>
                <w:sz w:val="44"/>
                <w:szCs w:val="44"/>
              </w:rPr>
            </w:pPr>
          </w:p>
        </w:tc>
        <w:tc>
          <w:tcPr>
            <w:tcW w:w="1440" w:type="dxa"/>
            <w:vAlign w:val="center"/>
          </w:tcPr>
          <w:p w14:paraId="673B6F7E">
            <w:pPr>
              <w:spacing w:line="560" w:lineRule="exact"/>
              <w:jc w:val="center"/>
              <w:rPr>
                <w:rFonts w:eastAsia="仿宋_GB2312"/>
                <w:b/>
                <w:sz w:val="30"/>
                <w:szCs w:val="30"/>
              </w:rPr>
            </w:pPr>
            <w:r>
              <w:rPr>
                <w:rFonts w:eastAsia="仿宋_GB2312"/>
                <w:b/>
                <w:sz w:val="30"/>
                <w:szCs w:val="30"/>
              </w:rPr>
              <w:t>联系方式</w:t>
            </w:r>
          </w:p>
        </w:tc>
        <w:tc>
          <w:tcPr>
            <w:tcW w:w="2880" w:type="dxa"/>
            <w:vAlign w:val="center"/>
          </w:tcPr>
          <w:p w14:paraId="542FF340">
            <w:pPr>
              <w:spacing w:line="560" w:lineRule="exact"/>
              <w:jc w:val="center"/>
              <w:rPr>
                <w:rFonts w:eastAsia="仿宋_GB2312"/>
                <w:b/>
                <w:sz w:val="44"/>
                <w:szCs w:val="44"/>
              </w:rPr>
            </w:pPr>
          </w:p>
        </w:tc>
      </w:tr>
      <w:tr w14:paraId="60EF8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jc w:val="center"/>
        </w:trPr>
        <w:tc>
          <w:tcPr>
            <w:tcW w:w="1440" w:type="dxa"/>
            <w:gridSpan w:val="2"/>
            <w:vMerge w:val="restart"/>
            <w:vAlign w:val="center"/>
          </w:tcPr>
          <w:p w14:paraId="0A61EA34">
            <w:pPr>
              <w:spacing w:line="560" w:lineRule="exact"/>
              <w:jc w:val="center"/>
              <w:rPr>
                <w:rFonts w:eastAsia="仿宋_GB2312"/>
                <w:b/>
                <w:sz w:val="30"/>
                <w:szCs w:val="30"/>
              </w:rPr>
            </w:pPr>
            <w:r>
              <w:rPr>
                <w:rFonts w:eastAsia="仿宋_GB2312"/>
                <w:b/>
                <w:sz w:val="30"/>
                <w:szCs w:val="30"/>
              </w:rPr>
              <w:t>证件号码</w:t>
            </w:r>
          </w:p>
        </w:tc>
        <w:tc>
          <w:tcPr>
            <w:tcW w:w="2700" w:type="dxa"/>
            <w:vAlign w:val="center"/>
          </w:tcPr>
          <w:p w14:paraId="128B5194">
            <w:pPr>
              <w:spacing w:line="560" w:lineRule="exact"/>
              <w:jc w:val="center"/>
              <w:rPr>
                <w:rFonts w:eastAsia="仿宋_GB2312"/>
                <w:szCs w:val="21"/>
              </w:rPr>
            </w:pPr>
            <w:r>
              <w:rPr>
                <w:rFonts w:eastAsia="仿宋_GB2312"/>
                <w:szCs w:val="21"/>
              </w:rPr>
              <w:t>身份证（  ）  护照（  ）</w:t>
            </w:r>
          </w:p>
        </w:tc>
        <w:tc>
          <w:tcPr>
            <w:tcW w:w="1440" w:type="dxa"/>
            <w:vMerge w:val="restart"/>
            <w:vAlign w:val="center"/>
          </w:tcPr>
          <w:p w14:paraId="17ADA51B">
            <w:pPr>
              <w:spacing w:line="560" w:lineRule="exact"/>
              <w:jc w:val="center"/>
              <w:rPr>
                <w:rFonts w:eastAsia="仿宋_GB2312"/>
                <w:b/>
                <w:sz w:val="30"/>
                <w:szCs w:val="30"/>
              </w:rPr>
            </w:pPr>
            <w:r>
              <w:rPr>
                <w:rFonts w:eastAsia="仿宋_GB2312"/>
                <w:b/>
                <w:sz w:val="30"/>
                <w:szCs w:val="30"/>
              </w:rPr>
              <w:t>证件号码</w:t>
            </w:r>
          </w:p>
        </w:tc>
        <w:tc>
          <w:tcPr>
            <w:tcW w:w="2880" w:type="dxa"/>
            <w:vAlign w:val="center"/>
          </w:tcPr>
          <w:p w14:paraId="510D5BEF">
            <w:pPr>
              <w:spacing w:line="560" w:lineRule="exact"/>
              <w:jc w:val="center"/>
              <w:rPr>
                <w:rFonts w:eastAsia="仿宋_GB2312"/>
                <w:szCs w:val="21"/>
              </w:rPr>
            </w:pPr>
            <w:r>
              <w:rPr>
                <w:rFonts w:eastAsia="仿宋_GB2312"/>
                <w:szCs w:val="21"/>
              </w:rPr>
              <w:t>身份证（  ）  护照（  ）</w:t>
            </w:r>
          </w:p>
        </w:tc>
      </w:tr>
      <w:tr w14:paraId="770C8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1440" w:type="dxa"/>
            <w:gridSpan w:val="2"/>
            <w:vMerge w:val="continue"/>
            <w:vAlign w:val="center"/>
          </w:tcPr>
          <w:p w14:paraId="002B5D2B">
            <w:pPr>
              <w:spacing w:line="560" w:lineRule="exact"/>
              <w:jc w:val="center"/>
              <w:rPr>
                <w:rFonts w:eastAsia="仿宋_GB2312"/>
                <w:b/>
                <w:sz w:val="44"/>
                <w:szCs w:val="44"/>
              </w:rPr>
            </w:pPr>
          </w:p>
        </w:tc>
        <w:tc>
          <w:tcPr>
            <w:tcW w:w="2700" w:type="dxa"/>
            <w:vAlign w:val="center"/>
          </w:tcPr>
          <w:p w14:paraId="162061A9">
            <w:pPr>
              <w:spacing w:line="560" w:lineRule="exact"/>
              <w:jc w:val="center"/>
              <w:rPr>
                <w:rFonts w:eastAsia="仿宋_GB2312"/>
                <w:b/>
                <w:sz w:val="44"/>
                <w:szCs w:val="44"/>
              </w:rPr>
            </w:pPr>
          </w:p>
        </w:tc>
        <w:tc>
          <w:tcPr>
            <w:tcW w:w="1440" w:type="dxa"/>
            <w:vMerge w:val="continue"/>
            <w:vAlign w:val="center"/>
          </w:tcPr>
          <w:p w14:paraId="722B8C1D">
            <w:pPr>
              <w:spacing w:line="560" w:lineRule="exact"/>
              <w:jc w:val="center"/>
              <w:rPr>
                <w:rFonts w:eastAsia="仿宋_GB2312"/>
                <w:b/>
                <w:sz w:val="44"/>
                <w:szCs w:val="44"/>
              </w:rPr>
            </w:pPr>
          </w:p>
        </w:tc>
        <w:tc>
          <w:tcPr>
            <w:tcW w:w="2880" w:type="dxa"/>
            <w:vAlign w:val="center"/>
          </w:tcPr>
          <w:p w14:paraId="76D1CCAA">
            <w:pPr>
              <w:spacing w:line="560" w:lineRule="exact"/>
              <w:jc w:val="center"/>
              <w:rPr>
                <w:rFonts w:eastAsia="仿宋_GB2312"/>
                <w:b/>
                <w:sz w:val="44"/>
                <w:szCs w:val="44"/>
              </w:rPr>
            </w:pPr>
          </w:p>
        </w:tc>
      </w:tr>
      <w:tr w14:paraId="20BA7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7" w:hRule="atLeast"/>
          <w:jc w:val="center"/>
        </w:trPr>
        <w:tc>
          <w:tcPr>
            <w:tcW w:w="8460" w:type="dxa"/>
            <w:gridSpan w:val="5"/>
          </w:tcPr>
          <w:p w14:paraId="2271BAA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eastAsia="仿宋_GB2312"/>
                <w:sz w:val="24"/>
              </w:rPr>
            </w:pPr>
            <w:r>
              <w:rPr>
                <w:rFonts w:eastAsia="仿宋_GB2312"/>
                <w:sz w:val="24"/>
              </w:rPr>
              <w:t>兹授权</w:t>
            </w:r>
            <w:r>
              <w:rPr>
                <w:rFonts w:eastAsia="仿宋_GB2312"/>
                <w:sz w:val="24"/>
                <w:u w:val="single"/>
              </w:rPr>
              <w:t xml:space="preserve">       </w:t>
            </w:r>
            <w:r>
              <w:rPr>
                <w:rFonts w:eastAsia="仿宋_GB2312"/>
                <w:sz w:val="24"/>
              </w:rPr>
              <w:t>（受托人）代表本人参加</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日起至</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r>
              <w:rPr>
                <w:rFonts w:ascii="Times New Roman" w:hAnsi="Times New Roman" w:eastAsia="仿宋_GB2312" w:cs="Times New Roman"/>
                <w:sz w:val="24"/>
              </w:rPr>
              <w:t>在</w:t>
            </w:r>
            <w:r>
              <w:rPr>
                <w:rFonts w:hint="default" w:eastAsia="仿宋_GB2312"/>
                <w:sz w:val="24"/>
              </w:rPr>
              <w:t>在乐山市市中区柏杨东路199号乐山市土地矿权交易市场</w:t>
            </w:r>
            <w:r>
              <w:rPr>
                <w:rFonts w:eastAsia="仿宋_GB2312"/>
                <w:sz w:val="24"/>
              </w:rPr>
              <w:t>举办的</w:t>
            </w:r>
            <w:r>
              <w:rPr>
                <w:rFonts w:eastAsia="仿宋_GB2312"/>
                <w:sz w:val="24"/>
                <w:u w:val="single"/>
              </w:rPr>
              <w:t xml:space="preserve">                    </w:t>
            </w:r>
            <w:r>
              <w:rPr>
                <w:rFonts w:eastAsia="仿宋_GB2312"/>
                <w:sz w:val="24"/>
              </w:rPr>
              <w:t>地块国有建设用地使用权挂牌出让活动，代表本人签订的《挂牌报价单》（ ）、《最高报价确认书》（ ）、《成交确认书》（ ）等具有法律意义的文件、凭证等。</w:t>
            </w:r>
          </w:p>
          <w:p w14:paraId="101455D9">
            <w:pPr>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eastAsia="仿宋_GB2312"/>
                <w:sz w:val="24"/>
              </w:rPr>
            </w:pPr>
            <w:r>
              <w:rPr>
                <w:rFonts w:eastAsia="仿宋_GB2312"/>
                <w:sz w:val="24"/>
              </w:rPr>
              <w:t>受托人在该地块挂牌出让活动中所做出的承诺、签署的合同或文件，本人均予以承认，并承担由此产生的法律后果。</w:t>
            </w:r>
          </w:p>
          <w:p w14:paraId="1B747F09">
            <w:pPr>
              <w:keepNext w:val="0"/>
              <w:keepLines w:val="0"/>
              <w:pageBreakBefore w:val="0"/>
              <w:widowControl w:val="0"/>
              <w:kinsoku/>
              <w:wordWrap/>
              <w:overflowPunct/>
              <w:topLinePunct w:val="0"/>
              <w:autoSpaceDE/>
              <w:autoSpaceDN/>
              <w:bidi w:val="0"/>
              <w:adjustRightInd/>
              <w:snapToGrid/>
              <w:spacing w:line="420" w:lineRule="exact"/>
              <w:ind w:firstLine="480"/>
              <w:textAlignment w:val="auto"/>
              <w:rPr>
                <w:rFonts w:eastAsia="仿宋_GB2312"/>
                <w:sz w:val="24"/>
              </w:rPr>
            </w:pPr>
          </w:p>
          <w:p w14:paraId="3E261B3A">
            <w:pPr>
              <w:keepNext w:val="0"/>
              <w:keepLines w:val="0"/>
              <w:pageBreakBefore w:val="0"/>
              <w:widowControl w:val="0"/>
              <w:kinsoku/>
              <w:wordWrap/>
              <w:overflowPunct/>
              <w:topLinePunct w:val="0"/>
              <w:autoSpaceDE/>
              <w:autoSpaceDN/>
              <w:bidi w:val="0"/>
              <w:adjustRightInd/>
              <w:snapToGrid/>
              <w:spacing w:line="420" w:lineRule="exact"/>
              <w:ind w:firstLine="4800"/>
              <w:textAlignment w:val="auto"/>
              <w:rPr>
                <w:rFonts w:eastAsia="仿宋_GB2312"/>
                <w:sz w:val="24"/>
                <w:u w:val="single"/>
              </w:rPr>
            </w:pPr>
            <w:r>
              <w:rPr>
                <w:rFonts w:eastAsia="仿宋_GB2312"/>
                <w:sz w:val="24"/>
              </w:rPr>
              <w:t>委托人（签名）：</w:t>
            </w:r>
            <w:r>
              <w:rPr>
                <w:rFonts w:eastAsia="仿宋_GB2312"/>
                <w:sz w:val="24"/>
                <w:u w:val="single"/>
              </w:rPr>
              <w:t xml:space="preserve">           </w:t>
            </w:r>
          </w:p>
          <w:p w14:paraId="51A62AA2">
            <w:pPr>
              <w:keepNext w:val="0"/>
              <w:keepLines w:val="0"/>
              <w:pageBreakBefore w:val="0"/>
              <w:widowControl w:val="0"/>
              <w:kinsoku/>
              <w:wordWrap/>
              <w:overflowPunct/>
              <w:topLinePunct w:val="0"/>
              <w:autoSpaceDE/>
              <w:autoSpaceDN/>
              <w:bidi w:val="0"/>
              <w:adjustRightInd/>
              <w:snapToGrid/>
              <w:spacing w:line="420" w:lineRule="exact"/>
              <w:textAlignment w:val="auto"/>
              <w:rPr>
                <w:rFonts w:eastAsia="仿宋_GB2312"/>
                <w:b/>
                <w:sz w:val="44"/>
                <w:szCs w:val="44"/>
              </w:rPr>
            </w:pP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r w14:paraId="2EAA8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2" w:hRule="atLeast"/>
          <w:jc w:val="center"/>
        </w:trPr>
        <w:tc>
          <w:tcPr>
            <w:tcW w:w="720" w:type="dxa"/>
            <w:vAlign w:val="center"/>
          </w:tcPr>
          <w:p w14:paraId="02CB25A3">
            <w:pPr>
              <w:spacing w:line="560" w:lineRule="exact"/>
              <w:jc w:val="center"/>
              <w:rPr>
                <w:rFonts w:eastAsia="仿宋_GB2312"/>
                <w:b/>
                <w:sz w:val="30"/>
                <w:szCs w:val="30"/>
              </w:rPr>
            </w:pPr>
            <w:r>
              <w:rPr>
                <w:rFonts w:eastAsia="仿宋_GB2312"/>
                <w:b/>
                <w:sz w:val="30"/>
                <w:szCs w:val="30"/>
              </w:rPr>
              <w:t>备</w:t>
            </w:r>
          </w:p>
          <w:p w14:paraId="699AEF1A">
            <w:pPr>
              <w:spacing w:line="560" w:lineRule="exact"/>
              <w:jc w:val="center"/>
              <w:rPr>
                <w:rFonts w:eastAsia="仿宋_GB2312"/>
                <w:b/>
                <w:sz w:val="30"/>
                <w:szCs w:val="30"/>
              </w:rPr>
            </w:pPr>
            <w:r>
              <w:rPr>
                <w:rFonts w:eastAsia="仿宋_GB2312"/>
                <w:b/>
                <w:sz w:val="30"/>
                <w:szCs w:val="30"/>
              </w:rPr>
              <w:t>注</w:t>
            </w:r>
          </w:p>
        </w:tc>
        <w:tc>
          <w:tcPr>
            <w:tcW w:w="7740" w:type="dxa"/>
            <w:gridSpan w:val="4"/>
          </w:tcPr>
          <w:p w14:paraId="392A7C05">
            <w:pPr>
              <w:spacing w:line="560" w:lineRule="exact"/>
              <w:rPr>
                <w:rFonts w:eastAsia="仿宋_GB2312"/>
                <w:sz w:val="24"/>
              </w:rPr>
            </w:pPr>
          </w:p>
          <w:p w14:paraId="47F22112">
            <w:pPr>
              <w:spacing w:line="560" w:lineRule="exact"/>
              <w:ind w:firstLine="480"/>
              <w:rPr>
                <w:rFonts w:eastAsia="仿宋_GB2312"/>
                <w:sz w:val="24"/>
              </w:rPr>
            </w:pPr>
            <w:r>
              <w:rPr>
                <w:rFonts w:eastAsia="仿宋_GB2312"/>
                <w:sz w:val="24"/>
              </w:rPr>
              <w:t>兹证明本委托书确系本单位法定代表人</w:t>
            </w:r>
            <w:r>
              <w:rPr>
                <w:rFonts w:eastAsia="仿宋_GB2312"/>
                <w:sz w:val="24"/>
                <w:u w:val="single"/>
              </w:rPr>
              <w:t xml:space="preserve">          </w:t>
            </w:r>
            <w:r>
              <w:rPr>
                <w:rFonts w:eastAsia="仿宋_GB2312"/>
                <w:sz w:val="24"/>
              </w:rPr>
              <w:t>亲自签署。</w:t>
            </w:r>
          </w:p>
          <w:p w14:paraId="1DCEA49D">
            <w:pPr>
              <w:spacing w:line="560" w:lineRule="exact"/>
              <w:ind w:firstLine="2640"/>
              <w:rPr>
                <w:rFonts w:eastAsia="仿宋_GB2312"/>
                <w:sz w:val="24"/>
              </w:rPr>
            </w:pPr>
            <w:r>
              <w:rPr>
                <w:rFonts w:eastAsia="仿宋_GB2312"/>
                <w:sz w:val="24"/>
              </w:rPr>
              <w:t>（单位公章）</w:t>
            </w:r>
          </w:p>
          <w:p w14:paraId="167A03D8">
            <w:pPr>
              <w:spacing w:line="560" w:lineRule="exact"/>
              <w:jc w:val="center"/>
              <w:rPr>
                <w:rFonts w:eastAsia="仿宋_GB2312"/>
                <w:sz w:val="24"/>
              </w:rPr>
            </w:pPr>
            <w:r>
              <w:rPr>
                <w:rFonts w:eastAsia="仿宋_GB2312"/>
                <w:b/>
                <w:sz w:val="44"/>
                <w:szCs w:val="44"/>
              </w:rPr>
              <w:t xml:space="preserve">     </w:t>
            </w:r>
            <w:r>
              <w:rPr>
                <w:rFonts w:eastAsia="仿宋_GB2312"/>
                <w:sz w:val="24"/>
              </w:rPr>
              <w:t xml:space="preserve">                          </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tc>
      </w:tr>
    </w:tbl>
    <w:p w14:paraId="08A6C65B">
      <w:pPr>
        <w:pStyle w:val="7"/>
        <w:spacing w:line="560" w:lineRule="exact"/>
        <w:ind w:left="5250"/>
        <w:jc w:val="right"/>
        <w:rPr>
          <w:rFonts w:ascii="Times New Roman" w:cs="Times New Roman"/>
        </w:rPr>
      </w:pPr>
    </w:p>
    <w:p w14:paraId="4505A661">
      <w:pPr>
        <w:pStyle w:val="7"/>
        <w:spacing w:line="560" w:lineRule="exact"/>
        <w:ind w:left="5250"/>
        <w:jc w:val="right"/>
        <w:rPr>
          <w:rFonts w:ascii="Times New Roman" w:cs="Times New Roman"/>
        </w:rPr>
      </w:pPr>
      <w:r>
        <w:rPr>
          <w:rFonts w:ascii="Times New Roman" w:cs="Times New Roman"/>
        </w:rPr>
        <w:t xml:space="preserve">电子监管号：              </w:t>
      </w:r>
    </w:p>
    <w:p w14:paraId="700FC02B">
      <w:pPr>
        <w:pStyle w:val="7"/>
        <w:spacing w:line="560" w:lineRule="exact"/>
        <w:outlineLvl w:val="0"/>
        <w:rPr>
          <w:rFonts w:ascii="Times New Roman" w:cs="Times New Roman"/>
        </w:rPr>
      </w:pPr>
    </w:p>
    <w:p w14:paraId="3D57213D">
      <w:pPr>
        <w:pStyle w:val="7"/>
        <w:spacing w:line="560" w:lineRule="exact"/>
        <w:rPr>
          <w:rFonts w:ascii="Times New Roman" w:cs="Times New Roman"/>
        </w:rPr>
      </w:pPr>
    </w:p>
    <w:p w14:paraId="488523D0">
      <w:pPr>
        <w:pStyle w:val="7"/>
        <w:spacing w:line="560" w:lineRule="exact"/>
        <w:rPr>
          <w:rFonts w:ascii="Times New Roman" w:cs="Times New Roman"/>
        </w:rPr>
      </w:pPr>
      <w:r>
        <w:rPr>
          <w:rFonts w:ascii="Times New Roman" w:cs="Times New Roman"/>
        </w:rPr>
        <w:t xml:space="preserve">   </w:t>
      </w:r>
    </w:p>
    <w:p w14:paraId="415775FF">
      <w:pPr>
        <w:pStyle w:val="7"/>
        <w:spacing w:line="560" w:lineRule="exact"/>
        <w:rPr>
          <w:rStyle w:val="38"/>
          <w:rFonts w:ascii="Times New Roman" w:hAnsi="Times New Roman" w:cs="Times New Roman"/>
        </w:rPr>
      </w:pPr>
    </w:p>
    <w:p w14:paraId="289CC663">
      <w:pPr>
        <w:pStyle w:val="7"/>
        <w:spacing w:line="560" w:lineRule="exact"/>
        <w:jc w:val="center"/>
        <w:rPr>
          <w:rFonts w:ascii="Times New Roman" w:eastAsia="方正小标宋简体" w:cs="Times New Roman"/>
          <w:b/>
          <w:bCs/>
          <w:sz w:val="18"/>
          <w:szCs w:val="18"/>
        </w:rPr>
      </w:pPr>
      <w:r>
        <w:rPr>
          <w:rFonts w:ascii="Times New Roman" w:eastAsia="方正小标宋简体" w:cs="Times New Roman"/>
          <w:b/>
          <w:bCs/>
          <w:sz w:val="48"/>
          <w:szCs w:val="48"/>
        </w:rPr>
        <w:t>国有建设用地使用权出让合同</w:t>
      </w:r>
    </w:p>
    <w:p w14:paraId="3DBE8ACF">
      <w:pPr>
        <w:pStyle w:val="7"/>
        <w:spacing w:line="560" w:lineRule="exact"/>
        <w:rPr>
          <w:rFonts w:ascii="Times New Roman" w:cs="Times New Roman"/>
          <w:b/>
          <w:bCs/>
          <w:sz w:val="18"/>
          <w:szCs w:val="18"/>
        </w:rPr>
      </w:pPr>
    </w:p>
    <w:p w14:paraId="4AD26030">
      <w:pPr>
        <w:pStyle w:val="7"/>
        <w:spacing w:line="560" w:lineRule="exact"/>
        <w:rPr>
          <w:rFonts w:ascii="Times New Roman" w:cs="Times New Roman"/>
          <w:sz w:val="48"/>
          <w:szCs w:val="48"/>
        </w:rPr>
      </w:pPr>
    </w:p>
    <w:p w14:paraId="25FB4210">
      <w:pPr>
        <w:pStyle w:val="7"/>
        <w:spacing w:line="560" w:lineRule="exact"/>
        <w:rPr>
          <w:rFonts w:ascii="Times New Roman" w:cs="Times New Roman"/>
          <w:sz w:val="48"/>
          <w:szCs w:val="48"/>
        </w:rPr>
      </w:pPr>
    </w:p>
    <w:p w14:paraId="1AB666FD">
      <w:pPr>
        <w:pStyle w:val="7"/>
        <w:spacing w:line="560" w:lineRule="exact"/>
        <w:rPr>
          <w:rFonts w:ascii="Times New Roman" w:cs="Times New Roman"/>
          <w:sz w:val="48"/>
          <w:szCs w:val="48"/>
        </w:rPr>
      </w:pPr>
    </w:p>
    <w:p w14:paraId="3A7B2F10">
      <w:pPr>
        <w:pStyle w:val="7"/>
        <w:spacing w:line="560" w:lineRule="exact"/>
        <w:rPr>
          <w:rFonts w:ascii="Times New Roman" w:cs="Times New Roman"/>
          <w:sz w:val="48"/>
          <w:szCs w:val="48"/>
        </w:rPr>
      </w:pPr>
    </w:p>
    <w:p w14:paraId="309474A9">
      <w:pPr>
        <w:pStyle w:val="7"/>
        <w:spacing w:line="560" w:lineRule="exact"/>
        <w:rPr>
          <w:rFonts w:ascii="Times New Roman" w:cs="Times New Roman"/>
          <w:sz w:val="48"/>
          <w:szCs w:val="48"/>
        </w:rPr>
      </w:pPr>
    </w:p>
    <w:p w14:paraId="1E4F7281">
      <w:pPr>
        <w:pStyle w:val="7"/>
        <w:spacing w:line="560" w:lineRule="exact"/>
        <w:rPr>
          <w:rFonts w:ascii="Times New Roman" w:cs="Times New Roman"/>
          <w:sz w:val="48"/>
          <w:szCs w:val="48"/>
        </w:rPr>
      </w:pPr>
    </w:p>
    <w:p w14:paraId="200776E4">
      <w:pPr>
        <w:pStyle w:val="7"/>
        <w:spacing w:line="560" w:lineRule="exact"/>
        <w:rPr>
          <w:rFonts w:ascii="Times New Roman" w:cs="Times New Roman"/>
          <w:sz w:val="48"/>
          <w:szCs w:val="48"/>
        </w:rPr>
      </w:pPr>
    </w:p>
    <w:p w14:paraId="7047C670">
      <w:pPr>
        <w:pStyle w:val="7"/>
        <w:spacing w:line="560" w:lineRule="exact"/>
        <w:rPr>
          <w:rFonts w:ascii="Times New Roman" w:cs="Times New Roman"/>
          <w:sz w:val="48"/>
          <w:szCs w:val="48"/>
        </w:rPr>
      </w:pPr>
    </w:p>
    <w:p w14:paraId="40D40D7E">
      <w:pPr>
        <w:pStyle w:val="7"/>
        <w:spacing w:line="560" w:lineRule="exact"/>
        <w:rPr>
          <w:rFonts w:ascii="Times New Roman" w:cs="Times New Roman"/>
          <w:sz w:val="48"/>
          <w:szCs w:val="48"/>
        </w:rPr>
      </w:pPr>
    </w:p>
    <w:p w14:paraId="3174D38A">
      <w:pPr>
        <w:pStyle w:val="7"/>
        <w:spacing w:line="560" w:lineRule="exact"/>
        <w:rPr>
          <w:rFonts w:ascii="Times New Roman" w:cs="Times New Roman"/>
          <w:sz w:val="48"/>
          <w:szCs w:val="48"/>
        </w:rPr>
      </w:pPr>
      <w:r>
        <w:rPr>
          <w:rFonts w:ascii="Times New Roman" w:cs="Times New Roman"/>
        </w:rPr>
        <w:pict>
          <v:rect id="Rectangle 4" o:spid="_x0000_s1026" o:spt="1" style="position:absolute;left:0pt;margin-left:63pt;margin-top:23.4pt;height:62.4pt;width:243pt;z-index:251659264;mso-width-relative:page;mso-height-relative:page;" stroked="t" coordsize="21600,21600" o:gfxdata="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E4h14DVAAAACgEAAA8AAAAAAAAA&#10;AQAgAAAAIgAAAGRycy9kb3ducmV2LnhtbFBLAQIUABQAAAAIAIdO4kD8O3iR2wEAAN4DAAAOAAAA&#10;AAAAAAEAIAAAACQBAABkcnMvZTJvRG9jLnhtbFBLBQYAAAAABgAGAFkBAABxBQAAAAA=&#10;">
            <v:path/>
            <v:fill focussize="0,0"/>
            <v:stroke color="#FFFFFF"/>
            <v:imagedata o:title=""/>
            <o:lock v:ext="edit"/>
            <v:textbox>
              <w:txbxContent>
                <w:p w14:paraId="735F4689">
                  <w:pPr>
                    <w:spacing w:line="500" w:lineRule="exact"/>
                    <w:rPr>
                      <w:rFonts w:ascii="方正黑体_GBK" w:hAnsi="宋体" w:eastAsia="方正黑体_GBK"/>
                      <w:bCs/>
                    </w:rPr>
                  </w:pPr>
                  <w:r>
                    <w:rPr>
                      <w:rFonts w:hint="eastAsia" w:ascii="方正黑体_GBK" w:hAnsi="宋体" w:eastAsia="方正黑体_GBK"/>
                      <w:bCs/>
                      <w:spacing w:val="72"/>
                      <w:szCs w:val="22"/>
                    </w:rPr>
                    <w:t>中华人民共和国国土资源</w:t>
                  </w:r>
                  <w:r>
                    <w:rPr>
                      <w:rFonts w:hint="eastAsia" w:ascii="方正黑体_GBK" w:hAnsi="宋体" w:eastAsia="方正黑体_GBK"/>
                      <w:bCs/>
                    </w:rPr>
                    <w:t>部</w:t>
                  </w:r>
                </w:p>
                <w:p w14:paraId="22FAA00B">
                  <w:pPr>
                    <w:spacing w:line="500" w:lineRule="exact"/>
                    <w:rPr>
                      <w:rFonts w:ascii="方正黑体_GBK" w:eastAsia="方正黑体_GBK"/>
                      <w:spacing w:val="20"/>
                    </w:rPr>
                  </w:pPr>
                  <w:r>
                    <w:rPr>
                      <w:rFonts w:hint="eastAsia" w:ascii="方正黑体_GBK" w:hAnsi="宋体" w:eastAsia="方正黑体_GBK"/>
                      <w:bCs/>
                      <w:spacing w:val="20"/>
                    </w:rPr>
                    <w:t>中华人民共和国国家工商行政管理总局</w:t>
                  </w:r>
                </w:p>
              </w:txbxContent>
            </v:textbox>
          </v:rect>
        </w:pict>
      </w:r>
    </w:p>
    <w:p w14:paraId="5C74E804">
      <w:pPr>
        <w:pStyle w:val="7"/>
        <w:spacing w:line="560" w:lineRule="exact"/>
        <w:jc w:val="left"/>
        <w:rPr>
          <w:rFonts w:ascii="Times New Roman" w:cs="Times New Roman"/>
          <w:bCs/>
        </w:rPr>
      </w:pPr>
      <w:r>
        <w:rPr>
          <w:rFonts w:ascii="Times New Roman" w:cs="Times New Roman"/>
        </w:rPr>
        <w:pict>
          <v:rect id="Rectangle 3" o:spid="_x0000_s1071" o:spt="1" style="position:absolute;left:0pt;margin-left:303.7pt;margin-top:7.6pt;height:38.8pt;width:39.55pt;z-index:251660288;mso-width-relative:page;mso-height-relative:page;" stroked="t" coordsize="21600,21600" o:gfxdata="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R+ad81wAAAAkBAAAPAAAAAAAA&#10;AAEAIAAAACIAAABkcnMvZG93bnJldi54bWxQSwECFAAUAAAACACHTuJA8xB6atoBAADdAwAADgAA&#10;AAAAAAABACAAAAAmAQAAZHJzL2Uyb0RvYy54bWxQSwUGAAAAAAYABgBZAQAAcgUAAAAA&#10;">
            <v:path/>
            <v:fill focussize="0,0"/>
            <v:stroke color="#FFFFFF"/>
            <v:imagedata o:title=""/>
            <o:lock v:ext="edit"/>
            <v:textbox>
              <w:txbxContent>
                <w:p w14:paraId="6EDEEB49">
                  <w:pPr>
                    <w:rPr>
                      <w:rFonts w:ascii="方正黑体_GBK" w:eastAsia="方正黑体_GBK"/>
                    </w:rPr>
                  </w:pPr>
                  <w:r>
                    <w:rPr>
                      <w:rFonts w:hint="eastAsia" w:ascii="方正黑体_GBK" w:hAnsi="Calibri" w:eastAsia="方正黑体_GBK"/>
                      <w:szCs w:val="22"/>
                    </w:rPr>
                    <w:t>制定</w:t>
                  </w:r>
                </w:p>
              </w:txbxContent>
            </v:textbox>
          </v:rect>
        </w:pict>
      </w:r>
      <w:r>
        <w:rPr>
          <w:rFonts w:ascii="Times New Roman" w:cs="Times New Roman"/>
          <w:bCs/>
        </w:rPr>
        <w:t xml:space="preserve">         </w:t>
      </w:r>
    </w:p>
    <w:p w14:paraId="2D20DAB2">
      <w:pPr>
        <w:pStyle w:val="7"/>
        <w:spacing w:line="560" w:lineRule="exact"/>
        <w:jc w:val="left"/>
        <w:rPr>
          <w:rFonts w:ascii="Times New Roman" w:cs="Times New Roman"/>
          <w:b/>
          <w:bCs/>
          <w:sz w:val="36"/>
          <w:szCs w:val="36"/>
        </w:rPr>
      </w:pPr>
      <w:r>
        <w:rPr>
          <w:rFonts w:ascii="Times New Roman" w:cs="Times New Roman"/>
          <w:bCs/>
          <w:spacing w:val="6"/>
        </w:rPr>
        <w:t xml:space="preserve">        </w:t>
      </w:r>
    </w:p>
    <w:p w14:paraId="34FB09E8">
      <w:pPr>
        <w:pStyle w:val="7"/>
        <w:spacing w:line="560" w:lineRule="exact"/>
        <w:ind w:firstLine="4960" w:firstLineChars="1550"/>
        <w:rPr>
          <w:rFonts w:ascii="Times New Roman" w:cs="Times New Roman"/>
        </w:rPr>
      </w:pPr>
    </w:p>
    <w:p w14:paraId="0A2F07C5">
      <w:pPr>
        <w:pStyle w:val="7"/>
        <w:spacing w:line="560" w:lineRule="exact"/>
        <w:ind w:firstLine="4960" w:firstLineChars="1550"/>
        <w:rPr>
          <w:rFonts w:ascii="Times New Roman" w:cs="Times New Roman"/>
        </w:rPr>
      </w:pPr>
    </w:p>
    <w:p w14:paraId="7D3311D9">
      <w:pPr>
        <w:pStyle w:val="7"/>
        <w:spacing w:line="560" w:lineRule="exact"/>
        <w:ind w:firstLine="4960" w:firstLineChars="1550"/>
        <w:rPr>
          <w:rFonts w:ascii="Times New Roman" w:cs="Times New Roman"/>
        </w:rPr>
      </w:pPr>
    </w:p>
    <w:p w14:paraId="2C25FE17">
      <w:pPr>
        <w:pStyle w:val="7"/>
        <w:spacing w:line="560" w:lineRule="exact"/>
        <w:ind w:firstLine="4800" w:firstLineChars="1500"/>
        <w:rPr>
          <w:rFonts w:ascii="Times New Roman" w:cs="Times New Roman"/>
          <w:u w:val="single"/>
        </w:rPr>
      </w:pPr>
      <w:r>
        <w:rPr>
          <w:rFonts w:ascii="Times New Roman" w:cs="Times New Roman"/>
        </w:rPr>
        <w:pict>
          <v:shape id="AutoShape 2" o:spid="_x0000_s1070" o:spt="100" style="position:absolute;left:0pt;margin-left:0pt;margin-top:0pt;height:50pt;width:50pt;visibility:hidden;z-index:251661312;mso-width-relative:page;mso-height-relative:page;" filled="f" stroked="f" coordsize="21600,21600" o:gfxdata="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" path="m10800,10800l10800,10800,21600,10800c21600,16765,16765,21600,10800,21600c4835,21600,0,16765,0,10800c0,4835,4835,0,10800,0c16765,0,21600,4835,21600,10800l24300,10800,16200,18900,8100,10800,10800,10800xe">
            <v:path o:connecttype="segments" o:connectlocs="0,10800;16200,10800;10800,10800;24300,10800;16200,18900;8100,10800" o:connectangles="0,0,0,0,0,0"/>
            <v:fill on="f" focussize="0,0"/>
            <v:stroke on="f" joinstyle="round"/>
            <v:imagedata o:title=""/>
            <o:lock v:ext="edit"/>
          </v:shape>
        </w:pict>
      </w:r>
      <w:r>
        <w:rPr>
          <w:rFonts w:ascii="Times New Roman" w:cs="Times New Roman"/>
        </w:rPr>
        <w:t>合同编号：</w:t>
      </w:r>
      <w:r>
        <w:rPr>
          <w:rFonts w:ascii="Times New Roman" w:cs="Times New Roman"/>
          <w:u w:val="single"/>
        </w:rPr>
        <w:t xml:space="preserve">               </w:t>
      </w:r>
    </w:p>
    <w:p w14:paraId="3C2F5422">
      <w:pPr>
        <w:pStyle w:val="7"/>
        <w:spacing w:line="560" w:lineRule="exact"/>
        <w:rPr>
          <w:rFonts w:ascii="Times New Roman" w:eastAsia="黑体" w:cs="Times New Roman"/>
          <w:b/>
          <w:sz w:val="44"/>
          <w:szCs w:val="44"/>
        </w:rPr>
      </w:pPr>
    </w:p>
    <w:p w14:paraId="7C2A9469">
      <w:pPr>
        <w:pStyle w:val="7"/>
        <w:spacing w:line="560" w:lineRule="exact"/>
        <w:rPr>
          <w:rFonts w:ascii="Times New Roman" w:eastAsia="黑体" w:cs="Times New Roman"/>
          <w:b/>
          <w:sz w:val="44"/>
          <w:szCs w:val="44"/>
        </w:rPr>
      </w:pPr>
    </w:p>
    <w:p w14:paraId="0BF21C9B">
      <w:pPr>
        <w:pStyle w:val="7"/>
        <w:spacing w:line="560" w:lineRule="exact"/>
        <w:jc w:val="center"/>
        <w:rPr>
          <w:rFonts w:ascii="Times New Roman" w:eastAsia="黑体" w:cs="Times New Roman"/>
          <w:b/>
          <w:sz w:val="44"/>
          <w:szCs w:val="44"/>
        </w:rPr>
      </w:pPr>
      <w:r>
        <w:rPr>
          <w:rFonts w:ascii="Times New Roman" w:eastAsia="黑体" w:cs="Times New Roman"/>
          <w:b/>
          <w:sz w:val="44"/>
          <w:szCs w:val="44"/>
        </w:rPr>
        <w:t>国有建设用地使用权出让合同</w:t>
      </w:r>
    </w:p>
    <w:p w14:paraId="0AA41ABD">
      <w:pPr>
        <w:pStyle w:val="7"/>
        <w:spacing w:line="560" w:lineRule="exact"/>
        <w:rPr>
          <w:rFonts w:ascii="Times New Roman" w:eastAsia="黑体" w:cs="Times New Roman"/>
          <w:sz w:val="36"/>
          <w:szCs w:val="36"/>
        </w:rPr>
      </w:pPr>
    </w:p>
    <w:p w14:paraId="2647B31D">
      <w:pPr>
        <w:pStyle w:val="7"/>
        <w:spacing w:line="560" w:lineRule="exact"/>
        <w:ind w:firstLine="640" w:firstLineChars="200"/>
        <w:rPr>
          <w:rFonts w:ascii="Times New Roman" w:eastAsia="仿宋_GB2312" w:cs="Times New Roman"/>
        </w:rPr>
      </w:pPr>
      <w:r>
        <w:rPr>
          <w:rFonts w:ascii="Times New Roman" w:eastAsia="仿宋_GB2312" w:cs="Times New Roman"/>
        </w:rPr>
        <w:t>本合同双方当事人：</w:t>
      </w:r>
    </w:p>
    <w:p w14:paraId="6B6FE194">
      <w:pPr>
        <w:pStyle w:val="7"/>
        <w:spacing w:line="560" w:lineRule="exact"/>
        <w:ind w:firstLine="640" w:firstLineChars="200"/>
        <w:rPr>
          <w:rFonts w:ascii="Times New Roman" w:eastAsia="仿宋_GB2312" w:cs="Times New Roman"/>
        </w:rPr>
      </w:pPr>
      <w:r>
        <w:rPr>
          <w:rFonts w:ascii="Times New Roman" w:eastAsia="仿宋_GB2312" w:cs="Times New Roman"/>
        </w:rPr>
        <w:t>出 让 人：</w:t>
      </w:r>
      <w:r>
        <w:rPr>
          <w:rFonts w:ascii="Times New Roman" w:eastAsia="仿宋_GB2312" w:cs="Times New Roman"/>
          <w:u w:val="single"/>
        </w:rPr>
        <w:t xml:space="preserve">                                     </w:t>
      </w:r>
      <w:r>
        <w:rPr>
          <w:rFonts w:ascii="Times New Roman" w:eastAsia="仿宋_GB2312" w:cs="Times New Roman"/>
        </w:rPr>
        <w:t>；</w:t>
      </w:r>
    </w:p>
    <w:p w14:paraId="600C0A6F">
      <w:pPr>
        <w:pStyle w:val="7"/>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 xml:space="preserve">；                    </w:t>
      </w:r>
    </w:p>
    <w:p w14:paraId="57D1777D">
      <w:pPr>
        <w:pStyle w:val="7"/>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73ED2961">
      <w:pPr>
        <w:pStyle w:val="7"/>
        <w:spacing w:line="560" w:lineRule="exact"/>
        <w:ind w:firstLine="640" w:firstLineChars="20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4EB052B6">
      <w:pPr>
        <w:pStyle w:val="7"/>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651414CD">
      <w:pPr>
        <w:pStyle w:val="7"/>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7406FDCB">
      <w:pPr>
        <w:pStyle w:val="7"/>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7F2E7696">
      <w:pPr>
        <w:pStyle w:val="7"/>
        <w:spacing w:line="560" w:lineRule="exact"/>
        <w:ind w:firstLine="640" w:firstLineChars="200"/>
        <w:rPr>
          <w:rFonts w:ascii="Times New Roman" w:eastAsia="仿宋_GB2312" w:cs="Times New Roman"/>
        </w:rPr>
      </w:pPr>
    </w:p>
    <w:p w14:paraId="59973C45">
      <w:pPr>
        <w:pStyle w:val="7"/>
        <w:spacing w:line="560" w:lineRule="exact"/>
        <w:ind w:firstLine="645"/>
        <w:rPr>
          <w:rFonts w:ascii="Times New Roman" w:eastAsia="仿宋_GB2312" w:cs="Times New Roman"/>
        </w:rPr>
      </w:pPr>
      <w:r>
        <w:rPr>
          <w:rFonts w:ascii="Times New Roman" w:eastAsia="仿宋_GB2312" w:cs="Times New Roman"/>
        </w:rPr>
        <w:t>受 让 人：</w:t>
      </w:r>
      <w:r>
        <w:rPr>
          <w:rFonts w:ascii="Times New Roman" w:eastAsia="仿宋_GB2312" w:cs="Times New Roman"/>
          <w:u w:val="single"/>
        </w:rPr>
        <w:t xml:space="preserve">                                     </w:t>
      </w:r>
      <w:r>
        <w:rPr>
          <w:rFonts w:ascii="Times New Roman" w:eastAsia="仿宋_GB2312" w:cs="Times New Roman"/>
        </w:rPr>
        <w:softHyphen/>
      </w:r>
      <w:r>
        <w:rPr>
          <w:rFonts w:ascii="Times New Roman" w:eastAsia="仿宋_GB2312" w:cs="Times New Roman"/>
        </w:rPr>
        <w:t>；</w:t>
      </w:r>
    </w:p>
    <w:p w14:paraId="4D49CCC4">
      <w:pPr>
        <w:pStyle w:val="7"/>
        <w:spacing w:line="560" w:lineRule="exact"/>
        <w:ind w:firstLine="640" w:firstLineChars="200"/>
        <w:rPr>
          <w:rFonts w:ascii="Times New Roman" w:eastAsia="仿宋_GB2312" w:cs="Times New Roman"/>
        </w:rPr>
      </w:pPr>
      <w:r>
        <w:rPr>
          <w:rFonts w:ascii="Times New Roman" w:eastAsia="仿宋_GB2312" w:cs="Times New Roman"/>
        </w:rPr>
        <w:t>通讯地址：</w:t>
      </w:r>
      <w:r>
        <w:rPr>
          <w:rFonts w:ascii="Times New Roman" w:eastAsia="仿宋_GB2312" w:cs="Times New Roman"/>
          <w:u w:val="single"/>
        </w:rPr>
        <w:t xml:space="preserve">                                     </w:t>
      </w:r>
      <w:r>
        <w:rPr>
          <w:rFonts w:ascii="Times New Roman" w:eastAsia="仿宋_GB2312" w:cs="Times New Roman"/>
        </w:rPr>
        <w:t>；</w:t>
      </w:r>
    </w:p>
    <w:p w14:paraId="0F5EF3F6">
      <w:pPr>
        <w:pStyle w:val="7"/>
        <w:spacing w:line="560" w:lineRule="exact"/>
        <w:ind w:firstLine="640" w:firstLineChars="200"/>
        <w:rPr>
          <w:rFonts w:ascii="Times New Roman" w:eastAsia="仿宋_GB2312" w:cs="Times New Roman"/>
        </w:rPr>
      </w:pPr>
      <w:r>
        <w:rPr>
          <w:rFonts w:ascii="Times New Roman" w:eastAsia="仿宋_GB2312" w:cs="Times New Roman"/>
        </w:rPr>
        <w:t>邮政编码：</w:t>
      </w:r>
      <w:r>
        <w:rPr>
          <w:rFonts w:ascii="Times New Roman" w:eastAsia="仿宋_GB2312" w:cs="Times New Roman"/>
          <w:u w:val="single"/>
        </w:rPr>
        <w:t xml:space="preserve">                                     </w:t>
      </w:r>
      <w:r>
        <w:rPr>
          <w:rFonts w:ascii="Times New Roman" w:eastAsia="仿宋_GB2312" w:cs="Times New Roman"/>
        </w:rPr>
        <w:t>；</w:t>
      </w:r>
    </w:p>
    <w:p w14:paraId="6DF94A5F">
      <w:pPr>
        <w:pStyle w:val="7"/>
        <w:spacing w:line="560" w:lineRule="exact"/>
        <w:ind w:left="160" w:leftChars="76" w:firstLine="480" w:firstLineChars="150"/>
        <w:rPr>
          <w:rFonts w:ascii="Times New Roman" w:eastAsia="仿宋_GB2312" w:cs="Times New Roman"/>
        </w:rPr>
      </w:pPr>
      <w:r>
        <w:rPr>
          <w:rFonts w:ascii="Times New Roman" w:eastAsia="仿宋_GB2312" w:cs="Times New Roman"/>
        </w:rPr>
        <w:t>电    话：</w:t>
      </w:r>
      <w:r>
        <w:rPr>
          <w:rFonts w:ascii="Times New Roman" w:eastAsia="仿宋_GB2312" w:cs="Times New Roman"/>
          <w:u w:val="single"/>
        </w:rPr>
        <w:t xml:space="preserve">                                     </w:t>
      </w:r>
      <w:r>
        <w:rPr>
          <w:rFonts w:ascii="Times New Roman" w:eastAsia="仿宋_GB2312" w:cs="Times New Roman"/>
        </w:rPr>
        <w:t>；</w:t>
      </w:r>
    </w:p>
    <w:p w14:paraId="255BA7E7">
      <w:pPr>
        <w:pStyle w:val="7"/>
        <w:spacing w:line="560" w:lineRule="exact"/>
        <w:ind w:firstLine="640" w:firstLineChars="200"/>
        <w:rPr>
          <w:rFonts w:ascii="Times New Roman" w:eastAsia="仿宋_GB2312" w:cs="Times New Roman"/>
        </w:rPr>
      </w:pPr>
      <w:r>
        <w:rPr>
          <w:rFonts w:ascii="Times New Roman" w:eastAsia="仿宋_GB2312" w:cs="Times New Roman"/>
        </w:rPr>
        <w:t>传    真：</w:t>
      </w:r>
      <w:r>
        <w:rPr>
          <w:rFonts w:ascii="Times New Roman" w:eastAsia="仿宋_GB2312" w:cs="Times New Roman"/>
          <w:u w:val="single"/>
        </w:rPr>
        <w:t xml:space="preserve">                                     </w:t>
      </w:r>
      <w:r>
        <w:rPr>
          <w:rFonts w:ascii="Times New Roman" w:eastAsia="仿宋_GB2312" w:cs="Times New Roman"/>
        </w:rPr>
        <w:t>；</w:t>
      </w:r>
    </w:p>
    <w:p w14:paraId="7C506534">
      <w:pPr>
        <w:pStyle w:val="7"/>
        <w:spacing w:line="560" w:lineRule="exact"/>
        <w:ind w:firstLine="640" w:firstLineChars="200"/>
        <w:rPr>
          <w:rFonts w:ascii="Times New Roman" w:eastAsia="仿宋_GB2312" w:cs="Times New Roman"/>
        </w:rPr>
      </w:pPr>
      <w:r>
        <w:rPr>
          <w:rFonts w:ascii="Times New Roman" w:eastAsia="仿宋_GB2312" w:cs="Times New Roman"/>
        </w:rPr>
        <w:t>开户银行：</w:t>
      </w:r>
      <w:r>
        <w:rPr>
          <w:rFonts w:ascii="Times New Roman" w:eastAsia="仿宋_GB2312" w:cs="Times New Roman"/>
          <w:u w:val="single"/>
        </w:rPr>
        <w:t xml:space="preserve">                                     </w:t>
      </w:r>
      <w:r>
        <w:rPr>
          <w:rFonts w:ascii="Times New Roman" w:eastAsia="仿宋_GB2312" w:cs="Times New Roman"/>
        </w:rPr>
        <w:t>；</w:t>
      </w:r>
    </w:p>
    <w:p w14:paraId="6E5DDD1A">
      <w:pPr>
        <w:pStyle w:val="7"/>
        <w:spacing w:line="560" w:lineRule="exact"/>
        <w:ind w:firstLine="640" w:firstLineChars="200"/>
        <w:rPr>
          <w:rFonts w:ascii="Times New Roman" w:eastAsia="仿宋_GB2312" w:cs="Times New Roman"/>
        </w:rPr>
      </w:pPr>
      <w:r>
        <w:rPr>
          <w:rFonts w:ascii="Times New Roman" w:eastAsia="仿宋_GB2312" w:cs="Times New Roman"/>
        </w:rPr>
        <w:t>账    号：</w:t>
      </w:r>
      <w:r>
        <w:rPr>
          <w:rFonts w:ascii="Times New Roman" w:eastAsia="仿宋_GB2312" w:cs="Times New Roman"/>
          <w:u w:val="single"/>
        </w:rPr>
        <w:t xml:space="preserve">                                     </w:t>
      </w:r>
      <w:r>
        <w:rPr>
          <w:rFonts w:ascii="Times New Roman" w:eastAsia="仿宋_GB2312" w:cs="Times New Roman"/>
        </w:rPr>
        <w:t>。</w:t>
      </w:r>
    </w:p>
    <w:p w14:paraId="76E69BD9">
      <w:pPr>
        <w:pStyle w:val="7"/>
        <w:spacing w:line="560" w:lineRule="exact"/>
        <w:jc w:val="center"/>
        <w:rPr>
          <w:rFonts w:ascii="Times New Roman" w:eastAsia="黑体" w:cs="Times New Roman"/>
          <w:sz w:val="36"/>
          <w:szCs w:val="36"/>
        </w:rPr>
      </w:pPr>
    </w:p>
    <w:p w14:paraId="15D2C24C">
      <w:pPr>
        <w:pStyle w:val="7"/>
        <w:spacing w:line="560" w:lineRule="exact"/>
        <w:jc w:val="center"/>
        <w:rPr>
          <w:rFonts w:ascii="Times New Roman" w:eastAsia="黑体" w:cs="Times New Roman"/>
          <w:sz w:val="36"/>
          <w:szCs w:val="36"/>
        </w:rPr>
      </w:pPr>
    </w:p>
    <w:p w14:paraId="753DB488">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第一章 总   则</w:t>
      </w:r>
    </w:p>
    <w:p w14:paraId="685BA102">
      <w:pPr>
        <w:pStyle w:val="7"/>
        <w:spacing w:line="560" w:lineRule="exact"/>
        <w:jc w:val="center"/>
        <w:rPr>
          <w:rFonts w:ascii="Times New Roman" w:eastAsia="仿宋_GB2312" w:cs="Times New Roman"/>
        </w:rPr>
      </w:pPr>
    </w:p>
    <w:p w14:paraId="14E2C3E3">
      <w:pPr>
        <w:pStyle w:val="7"/>
        <w:spacing w:line="560" w:lineRule="exact"/>
        <w:ind w:firstLine="630" w:firstLineChars="196"/>
        <w:rPr>
          <w:rFonts w:ascii="Times New Roman" w:eastAsia="仿宋_GB2312" w:cs="Times New Roman"/>
        </w:rPr>
      </w:pPr>
      <w:r>
        <w:rPr>
          <w:rFonts w:ascii="Times New Roman" w:eastAsia="方正楷体_GBK" w:cs="Times New Roman"/>
          <w:b/>
          <w:bCs/>
        </w:rPr>
        <w:t>第一条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根据《中华人民共和国物权法》、《中华人民共和国合同法》、《中华人民共和国土地管理法》、《中华人民共和国城市房地产管理法》等法律、有关行政法规及土地供应政策规定，双方本着平等、自愿、有偿、诚实信用的原则，订立本合同。</w:t>
      </w:r>
    </w:p>
    <w:p w14:paraId="5649B7B7">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第二条</w:t>
      </w:r>
      <w:r>
        <w:rPr>
          <w:rFonts w:ascii="Times New Roman" w:eastAsia="仿宋_GB2312" w:cs="Times New Roman"/>
        </w:rPr>
        <w:t xml:space="preserve">  出让土地的所有权属中华人民共和国，出让人根据法律的授权出让国有建设用地使用权，地下资源、埋藏物不属于国有建设用地使用权出让范围。   </w:t>
      </w:r>
    </w:p>
    <w:p w14:paraId="7DDEE399">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第三条</w:t>
      </w:r>
      <w:r>
        <w:rPr>
          <w:rFonts w:ascii="Times New Roman" w:eastAsia="仿宋_GB2312" w:cs="Times New Roman"/>
          <w:b/>
          <w:bCs/>
        </w:rPr>
        <w:t xml:space="preserve">  </w:t>
      </w:r>
      <w:r>
        <w:rPr>
          <w:rFonts w:ascii="Times New Roman" w:eastAsia="仿宋_GB2312" w:cs="Times New Roman"/>
        </w:rPr>
        <w:t>受让人对依法取得的国有建设用地，在出让期限内享有占有、使用、收益和依法处置的权利，有权利用该土地依法建造建筑物、构筑物及其附属设施。</w:t>
      </w:r>
    </w:p>
    <w:p w14:paraId="16025B09">
      <w:pPr>
        <w:pStyle w:val="7"/>
        <w:spacing w:line="560" w:lineRule="exact"/>
        <w:ind w:firstLine="640" w:firstLineChars="200"/>
        <w:rPr>
          <w:rFonts w:ascii="Times New Roman" w:eastAsia="仿宋_GB2312" w:cs="Times New Roman"/>
        </w:rPr>
      </w:pPr>
    </w:p>
    <w:p w14:paraId="7791AFA2">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第二章 出让土地的交付与出让价款的缴纳</w:t>
      </w:r>
    </w:p>
    <w:p w14:paraId="376628AB">
      <w:pPr>
        <w:pStyle w:val="7"/>
        <w:spacing w:line="560" w:lineRule="exact"/>
        <w:jc w:val="center"/>
        <w:rPr>
          <w:rFonts w:ascii="Times New Roman" w:eastAsia="黑体" w:cs="Times New Roman"/>
        </w:rPr>
      </w:pPr>
    </w:p>
    <w:p w14:paraId="5ABA215B">
      <w:pPr>
        <w:pStyle w:val="7"/>
        <w:spacing w:line="560" w:lineRule="exact"/>
        <w:ind w:firstLine="645"/>
        <w:rPr>
          <w:rFonts w:ascii="Times New Roman" w:eastAsia="仿宋_GB2312" w:cs="Times New Roman"/>
        </w:rPr>
      </w:pPr>
      <w:r>
        <w:rPr>
          <w:rFonts w:ascii="Times New Roman" w:eastAsia="方正楷体_GBK" w:cs="Times New Roman"/>
          <w:b/>
          <w:bCs/>
        </w:rPr>
        <w:t>第四条</w:t>
      </w:r>
      <w:r>
        <w:rPr>
          <w:rFonts w:ascii="Times New Roman" w:eastAsia="仿宋_GB2312" w:cs="Times New Roman"/>
        </w:rPr>
        <w:t xml:space="preserve">  本合同项下出让宗地编号为</w:t>
      </w:r>
      <w:r>
        <w:rPr>
          <w:rFonts w:ascii="Times New Roman" w:eastAsia="仿宋_GB2312" w:cs="Times New Roman"/>
          <w:u w:val="single"/>
        </w:rPr>
        <w:t xml:space="preserve">     </w:t>
      </w:r>
      <w:r>
        <w:rPr>
          <w:rFonts w:ascii="Times New Roman" w:eastAsia="仿宋_GB2312" w:cs="Times New Roman"/>
        </w:rPr>
        <w:t>，宗地总面积大写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平方米），其中出让宗地面积为大写</w:t>
      </w:r>
      <w:r>
        <w:rPr>
          <w:rFonts w:ascii="Times New Roman" w:eastAsia="仿宋_GB2312" w:cs="Times New Roman"/>
          <w:u w:val="single"/>
        </w:rPr>
        <w:t xml:space="preserve">                     </w:t>
      </w:r>
      <w:r>
        <w:rPr>
          <w:rFonts w:ascii="Times New Roman" w:eastAsia="仿宋_GB2312" w:cs="Times New Roman"/>
        </w:rPr>
        <w:t>平方米（小写</w:t>
      </w:r>
      <w:r>
        <w:rPr>
          <w:rFonts w:ascii="Times New Roman" w:eastAsia="仿宋_GB2312" w:cs="Times New Roman"/>
          <w:u w:val="single"/>
        </w:rPr>
        <w:t xml:space="preserve">       </w:t>
      </w:r>
      <w:r>
        <w:rPr>
          <w:rFonts w:ascii="Times New Roman" w:eastAsia="仿宋_GB2312" w:cs="Times New Roman"/>
        </w:rPr>
        <w:t>平方米）。</w:t>
      </w:r>
    </w:p>
    <w:p w14:paraId="0149224E">
      <w:pPr>
        <w:pStyle w:val="7"/>
        <w:spacing w:line="560" w:lineRule="exact"/>
        <w:rPr>
          <w:rFonts w:ascii="Times New Roman" w:eastAsia="仿宋_GB2312" w:cs="Times New Roman"/>
        </w:rPr>
      </w:pPr>
      <w:r>
        <w:rPr>
          <w:rFonts w:ascii="Times New Roman" w:eastAsia="仿宋_GB2312" w:cs="Times New Roman"/>
        </w:rPr>
        <w:t>本合同项下的出让宗地坐落于</w:t>
      </w:r>
      <w:r>
        <w:rPr>
          <w:rFonts w:ascii="Times New Roman" w:eastAsia="仿宋_GB2312" w:cs="Times New Roman"/>
          <w:u w:val="single"/>
        </w:rPr>
        <w:t xml:space="preserve">                          </w:t>
      </w:r>
      <w:r>
        <w:rPr>
          <w:rFonts w:ascii="Times New Roman" w:eastAsia="仿宋_GB2312" w:cs="Times New Roman"/>
        </w:rPr>
        <w:t>。</w:t>
      </w:r>
    </w:p>
    <w:p w14:paraId="59B9DCE7">
      <w:pPr>
        <w:pStyle w:val="7"/>
        <w:spacing w:line="560" w:lineRule="exact"/>
        <w:ind w:firstLine="645"/>
        <w:rPr>
          <w:rFonts w:ascii="Times New Roman" w:eastAsia="仿宋_GB2312" w:cs="Times New Roman"/>
        </w:rPr>
      </w:pPr>
      <w:r>
        <w:rPr>
          <w:rFonts w:ascii="Times New Roman" w:eastAsia="仿宋_GB2312" w:cs="Times New Roman"/>
        </w:rPr>
        <w:t>本合同项下出让宗地的平面界址为</w:t>
      </w:r>
      <w:r>
        <w:rPr>
          <w:rFonts w:ascii="Times New Roman" w:eastAsia="仿宋_GB2312" w:cs="Times New Roman"/>
          <w:u w:val="single"/>
        </w:rPr>
        <w:t xml:space="preserve">    </w:t>
      </w:r>
      <w:r>
        <w:rPr>
          <w:rFonts w:ascii="Times New Roman" w:eastAsia="仿宋_GB2312" w:cs="Times New Roman"/>
        </w:rPr>
        <w:t>；出让宗地的平面界址图见附件1。</w:t>
      </w:r>
    </w:p>
    <w:p w14:paraId="1F99E865">
      <w:pPr>
        <w:pStyle w:val="7"/>
        <w:spacing w:line="560" w:lineRule="exact"/>
        <w:ind w:firstLine="645"/>
        <w:rPr>
          <w:rFonts w:ascii="Times New Roman" w:eastAsia="仿宋_GB2312" w:cs="Times New Roman"/>
        </w:rPr>
      </w:pPr>
      <w:r>
        <w:rPr>
          <w:rFonts w:ascii="Times New Roman" w:eastAsia="仿宋_GB2312" w:cs="Times New Roman"/>
        </w:rPr>
        <w:t>本合同项下出让宗地的竖向界限以</w:t>
      </w:r>
      <w:r>
        <w:rPr>
          <w:rFonts w:ascii="Times New Roman" w:eastAsia="仿宋_GB2312" w:cs="Times New Roman"/>
          <w:u w:val="single"/>
        </w:rPr>
        <w:t xml:space="preserve">    </w:t>
      </w:r>
      <w:r>
        <w:rPr>
          <w:rFonts w:ascii="Times New Roman" w:eastAsia="仿宋_GB2312" w:cs="Times New Roman"/>
        </w:rPr>
        <w:t>为上界限，以   为下界限，高差为</w:t>
      </w:r>
      <w:r>
        <w:rPr>
          <w:rFonts w:ascii="Times New Roman" w:eastAsia="仿宋_GB2312" w:cs="Times New Roman"/>
          <w:u w:val="single"/>
        </w:rPr>
        <w:t xml:space="preserve">    </w:t>
      </w:r>
      <w:r>
        <w:rPr>
          <w:rFonts w:ascii="Times New Roman" w:eastAsia="仿宋_GB2312" w:cs="Times New Roman"/>
        </w:rPr>
        <w:t>米。出让宗地竖向界限见附件2。</w:t>
      </w:r>
    </w:p>
    <w:p w14:paraId="72394B04">
      <w:pPr>
        <w:pStyle w:val="7"/>
        <w:spacing w:line="560" w:lineRule="exact"/>
        <w:ind w:firstLine="640" w:firstLineChars="200"/>
        <w:rPr>
          <w:rFonts w:ascii="Times New Roman" w:eastAsia="仿宋_GB2312" w:cs="Times New Roman"/>
        </w:rPr>
      </w:pPr>
      <w:r>
        <w:rPr>
          <w:rFonts w:ascii="Times New Roman" w:eastAsia="仿宋_GB2312" w:cs="Times New Roman"/>
        </w:rPr>
        <w:t>出让宗地空间范围是以上述界址点所构成的垂直面和上、下界限高程平面封闭形成的空间范围。</w:t>
      </w:r>
    </w:p>
    <w:p w14:paraId="09DD4892">
      <w:pPr>
        <w:pStyle w:val="7"/>
        <w:numPr>
          <w:ilvl w:val="0"/>
          <w:numId w:val="4"/>
        </w:numPr>
        <w:tabs>
          <w:tab w:val="left" w:pos="1260"/>
        </w:tabs>
        <w:spacing w:line="560" w:lineRule="exact"/>
        <w:rPr>
          <w:rFonts w:ascii="Times New Roman" w:eastAsia="仿宋_GB2312" w:cs="Times New Roman"/>
        </w:rPr>
      </w:pPr>
      <w:r>
        <w:rPr>
          <w:rFonts w:ascii="Times New Roman" w:eastAsia="仿宋_GB2312" w:cs="Times New Roman"/>
        </w:rPr>
        <w:t>本合同项下出让宗地的用途为</w:t>
      </w:r>
      <w:r>
        <w:rPr>
          <w:rFonts w:ascii="Times New Roman" w:eastAsia="仿宋_GB2312" w:cs="Times New Roman"/>
          <w:u w:val="single"/>
        </w:rPr>
        <w:t xml:space="preserve">             </w:t>
      </w:r>
      <w:r>
        <w:rPr>
          <w:rFonts w:ascii="Times New Roman" w:eastAsia="仿宋_GB2312" w:cs="Times New Roman"/>
        </w:rPr>
        <w:t>。</w:t>
      </w:r>
    </w:p>
    <w:p w14:paraId="2242F824">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第六条</w:t>
      </w:r>
      <w:r>
        <w:rPr>
          <w:rFonts w:ascii="Times New Roman" w:eastAsia="仿宋_GB2312" w:cs="Times New Roman"/>
        </w:rPr>
        <w:t xml:space="preserve"> </w:t>
      </w:r>
      <w:r>
        <w:rPr>
          <w:rFonts w:ascii="Times New Roman" w:eastAsia="仿宋_GB2312" w:cs="Times New Roman"/>
          <w:b/>
          <w:bCs/>
        </w:rPr>
        <w:t xml:space="preserve"> </w:t>
      </w:r>
      <w:r>
        <w:rPr>
          <w:rFonts w:ascii="Times New Roman" w:eastAsia="仿宋_GB2312" w:cs="Times New Roman"/>
        </w:rPr>
        <w:t>出让人同意在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 xml:space="preserve"> 月</w:t>
      </w:r>
      <w:r>
        <w:rPr>
          <w:rFonts w:ascii="Times New Roman" w:eastAsia="仿宋_GB2312" w:cs="Times New Roman"/>
          <w:u w:val="single"/>
        </w:rPr>
        <w:t xml:space="preserve">    </w:t>
      </w:r>
      <w:r>
        <w:rPr>
          <w:rFonts w:ascii="Times New Roman" w:eastAsia="仿宋_GB2312" w:cs="Times New Roman"/>
        </w:rPr>
        <w:t>日前将出让宗地交付给受让人，出让人同意在交付土地时该宗地应达到本条第</w:t>
      </w:r>
      <w:r>
        <w:rPr>
          <w:rFonts w:ascii="Times New Roman" w:eastAsia="仿宋_GB2312" w:cs="Times New Roman"/>
          <w:u w:val="single"/>
        </w:rPr>
        <w:t xml:space="preserve">     </w:t>
      </w:r>
      <w:r>
        <w:rPr>
          <w:rFonts w:ascii="Times New Roman" w:eastAsia="仿宋_GB2312" w:cs="Times New Roman"/>
        </w:rPr>
        <w:t>项规定的土地条件：</w:t>
      </w:r>
    </w:p>
    <w:p w14:paraId="3C96ABC9">
      <w:pPr>
        <w:pStyle w:val="7"/>
        <w:spacing w:line="560" w:lineRule="exact"/>
        <w:ind w:firstLine="640" w:firstLineChars="200"/>
        <w:rPr>
          <w:rFonts w:ascii="Times New Roman" w:eastAsia="仿宋_GB2312" w:cs="Times New Roman"/>
        </w:rPr>
      </w:pPr>
      <w:r>
        <w:rPr>
          <w:rFonts w:ascii="Times New Roman" w:eastAsia="仿宋_GB2312" w:cs="Times New Roman"/>
        </w:rPr>
        <w:t>（一）场地平整达到</w:t>
      </w:r>
      <w:r>
        <w:rPr>
          <w:rFonts w:ascii="Times New Roman" w:eastAsia="仿宋_GB2312" w:cs="Times New Roman"/>
          <w:u w:val="single"/>
        </w:rPr>
        <w:t xml:space="preserve">                               </w:t>
      </w:r>
      <w:r>
        <w:rPr>
          <w:rFonts w:ascii="Times New Roman" w:eastAsia="仿宋_GB2312" w:cs="Times New Roman"/>
        </w:rPr>
        <w:t>；</w:t>
      </w:r>
    </w:p>
    <w:p w14:paraId="10AFD33D">
      <w:pPr>
        <w:pStyle w:val="7"/>
        <w:spacing w:line="560" w:lineRule="exact"/>
        <w:rPr>
          <w:rFonts w:ascii="Times New Roman" w:eastAsia="仿宋_GB2312" w:cs="Times New Roman"/>
        </w:rPr>
      </w:pPr>
      <w:r>
        <w:rPr>
          <w:rFonts w:ascii="Times New Roman" w:eastAsia="仿宋_GB2312" w:cs="Times New Roman"/>
        </w:rPr>
        <w:t>周围基础设施达到</w:t>
      </w:r>
      <w:r>
        <w:rPr>
          <w:rFonts w:ascii="Times New Roman" w:eastAsia="仿宋_GB2312" w:cs="Times New Roman"/>
          <w:u w:val="single"/>
        </w:rPr>
        <w:t xml:space="preserve">                                   </w:t>
      </w:r>
      <w:r>
        <w:rPr>
          <w:rFonts w:ascii="Times New Roman" w:eastAsia="仿宋_GB2312" w:cs="Times New Roman"/>
        </w:rPr>
        <w:t>；</w:t>
      </w:r>
    </w:p>
    <w:p w14:paraId="292FC2A3">
      <w:pPr>
        <w:pStyle w:val="7"/>
        <w:spacing w:line="560" w:lineRule="exact"/>
        <w:ind w:firstLine="640" w:firstLineChars="200"/>
        <w:rPr>
          <w:rFonts w:ascii="Times New Roman" w:eastAsia="仿宋_GB2312" w:cs="Times New Roman"/>
        </w:rPr>
      </w:pPr>
      <w:r>
        <w:rPr>
          <w:rFonts w:ascii="Times New Roman" w:eastAsia="仿宋_GB2312" w:cs="Times New Roman"/>
        </w:rPr>
        <w:t>（二）现状土地条件</w:t>
      </w:r>
      <w:r>
        <w:rPr>
          <w:rFonts w:ascii="Times New Roman" w:eastAsia="仿宋_GB2312" w:cs="Times New Roman"/>
          <w:u w:val="single"/>
        </w:rPr>
        <w:t xml:space="preserve">                              </w:t>
      </w:r>
      <w:r>
        <w:rPr>
          <w:rFonts w:ascii="Times New Roman" w:eastAsia="仿宋_GB2312" w:cs="Times New Roman"/>
        </w:rPr>
        <w:t>。</w:t>
      </w:r>
    </w:p>
    <w:p w14:paraId="39EAFBF5">
      <w:pPr>
        <w:pStyle w:val="7"/>
        <w:spacing w:line="560" w:lineRule="exact"/>
        <w:ind w:firstLine="643" w:firstLineChars="200"/>
        <w:rPr>
          <w:rFonts w:ascii="Times New Roman" w:eastAsia="仿宋_GB2312" w:cs="Times New Roman"/>
        </w:rPr>
      </w:pPr>
      <w:r>
        <w:rPr>
          <w:rFonts w:ascii="Times New Roman" w:eastAsia="方正楷体_GBK" w:cs="Times New Roman"/>
          <w:b/>
          <w:bCs/>
        </w:rPr>
        <w:t>第七条</w:t>
      </w:r>
      <w:r>
        <w:rPr>
          <w:rFonts w:ascii="Times New Roman" w:eastAsia="仿宋_GB2312" w:cs="Times New Roman"/>
          <w:b/>
          <w:bCs/>
        </w:rPr>
        <w:t xml:space="preserve"> </w:t>
      </w:r>
      <w:r>
        <w:rPr>
          <w:rFonts w:ascii="Times New Roman" w:eastAsia="仿宋_GB2312" w:cs="Times New Roman"/>
        </w:rPr>
        <w:t xml:space="preserve"> 本合同项下的国有建设用地使用权出让年期为</w:t>
      </w:r>
    </w:p>
    <w:p w14:paraId="51998BC8">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年，按本合同第六条约定的交付土地之日起算；原划拨（承租）国有建设用地使用权补办出让手续的，出让年期自合同签订之日起算。</w:t>
      </w:r>
    </w:p>
    <w:p w14:paraId="3704C996">
      <w:pPr>
        <w:pStyle w:val="7"/>
        <w:spacing w:line="560" w:lineRule="exact"/>
        <w:ind w:firstLine="643" w:firstLineChars="200"/>
        <w:rPr>
          <w:rFonts w:ascii="Times New Roman" w:eastAsia="仿宋_GB2312" w:cs="Times New Roman"/>
          <w:u w:val="single"/>
        </w:rPr>
      </w:pPr>
      <w:r>
        <w:rPr>
          <w:rFonts w:ascii="Times New Roman" w:eastAsia="方正楷体_GBK" w:cs="Times New Roman"/>
          <w:b/>
          <w:bCs/>
        </w:rPr>
        <w:t>第八条</w:t>
      </w:r>
      <w:r>
        <w:rPr>
          <w:rFonts w:ascii="Times New Roman" w:eastAsia="仿宋_GB2312" w:cs="Times New Roman"/>
        </w:rPr>
        <w:t xml:space="preserve">  本合同项下宗地的国有建设用地使用权出让价款为人民币大写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u w:val="single"/>
        </w:rPr>
        <w:t xml:space="preserve">  </w:t>
      </w:r>
      <w:r>
        <w:rPr>
          <w:rFonts w:ascii="Times New Roman" w:eastAsia="仿宋_GB2312" w:cs="Times New Roman"/>
        </w:rPr>
        <w:t>元 （小写</w:t>
      </w:r>
    </w:p>
    <w:p w14:paraId="0D54908D">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元），每平方米人民币大写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w:t>
      </w:r>
    </w:p>
    <w:p w14:paraId="79698EB9">
      <w:pPr>
        <w:pStyle w:val="7"/>
        <w:spacing w:line="560" w:lineRule="exact"/>
        <w:ind w:firstLine="630" w:firstLineChars="196"/>
        <w:jc w:val="left"/>
        <w:rPr>
          <w:rFonts w:ascii="Times New Roman" w:eastAsia="仿宋_GB2312" w:cs="Times New Roman"/>
        </w:rPr>
      </w:pPr>
      <w:r>
        <w:rPr>
          <w:rFonts w:ascii="Times New Roman" w:eastAsia="方正楷体_GBK" w:cs="Times New Roman"/>
          <w:b/>
          <w:bCs/>
        </w:rPr>
        <w:t>第九条</w:t>
      </w:r>
      <w:r>
        <w:rPr>
          <w:rFonts w:ascii="Times New Roman" w:eastAsia="仿宋_GB2312" w:cs="Times New Roman"/>
          <w:b/>
          <w:bCs/>
        </w:rPr>
        <w:t xml:space="preserve">  </w:t>
      </w:r>
      <w:r>
        <w:rPr>
          <w:rFonts w:ascii="Times New Roman" w:eastAsia="仿宋_GB2312" w:cs="Times New Roman"/>
        </w:rPr>
        <w:t>本合同项下宗地的定金为人民币大写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cs="Times New Roman"/>
          <w:u w:val="single"/>
        </w:rPr>
        <w:t xml:space="preserve">          </w:t>
      </w:r>
      <w:r>
        <w:rPr>
          <w:rFonts w:ascii="Times New Roman" w:eastAsia="仿宋_GB2312" w:cs="Times New Roman"/>
        </w:rPr>
        <w:t>元），定金抵作土地出让价款。</w:t>
      </w:r>
    </w:p>
    <w:p w14:paraId="6E3188CA">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第十条</w:t>
      </w:r>
      <w:r>
        <w:rPr>
          <w:rFonts w:ascii="Times New Roman" w:eastAsia="仿宋_GB2312" w:cs="Times New Roman"/>
        </w:rPr>
        <w:t xml:space="preserve">  受让人同意按照本条第一款第</w:t>
      </w:r>
      <w:r>
        <w:rPr>
          <w:rFonts w:ascii="Times New Roman" w:eastAsia="仿宋_GB2312" w:cs="Times New Roman"/>
          <w:u w:val="single"/>
        </w:rPr>
        <w:t xml:space="preserve">     </w:t>
      </w:r>
      <w:r>
        <w:rPr>
          <w:rFonts w:ascii="Times New Roman" w:eastAsia="仿宋_GB2312" w:cs="Times New Roman"/>
        </w:rPr>
        <w:t>项的规定向出让人支付国有建设用地使用权出让价款：</w:t>
      </w:r>
    </w:p>
    <w:p w14:paraId="057CE92C">
      <w:pPr>
        <w:pStyle w:val="7"/>
        <w:spacing w:line="560" w:lineRule="exact"/>
        <w:ind w:firstLine="640" w:firstLineChars="200"/>
        <w:rPr>
          <w:rFonts w:ascii="Times New Roman" w:eastAsia="仿宋_GB2312" w:cs="Times New Roman"/>
        </w:rPr>
      </w:pPr>
      <w:r>
        <w:rPr>
          <w:rFonts w:ascii="Times New Roman" w:eastAsia="仿宋_GB2312" w:cs="Times New Roman"/>
        </w:rPr>
        <w:t>（一）本合同签订之日起</w:t>
      </w:r>
      <w:r>
        <w:rPr>
          <w:rFonts w:ascii="Times New Roman" w:eastAsia="仿宋_GB2312" w:cs="Times New Roman"/>
          <w:u w:val="single"/>
        </w:rPr>
        <w:t xml:space="preserve">      </w:t>
      </w:r>
      <w:r>
        <w:rPr>
          <w:rFonts w:ascii="Times New Roman" w:eastAsia="仿宋_GB2312" w:cs="Times New Roman"/>
        </w:rPr>
        <w:t>日内，一次性付清国有建设用地使用权出让价款；</w:t>
      </w:r>
    </w:p>
    <w:p w14:paraId="12932DE3">
      <w:pPr>
        <w:pStyle w:val="7"/>
        <w:spacing w:line="560" w:lineRule="exact"/>
        <w:ind w:firstLine="640" w:firstLineChars="200"/>
        <w:rPr>
          <w:rFonts w:ascii="Times New Roman" w:eastAsia="仿宋_GB2312" w:cs="Times New Roman"/>
        </w:rPr>
      </w:pPr>
      <w:r>
        <w:rPr>
          <w:rFonts w:ascii="Times New Roman" w:eastAsia="仿宋_GB2312" w:cs="Times New Roman"/>
        </w:rPr>
        <w:t>（二）按以下时间和金额分</w:t>
      </w:r>
      <w:r>
        <w:rPr>
          <w:rFonts w:ascii="Times New Roman" w:eastAsia="仿宋_GB2312" w:cs="Times New Roman"/>
          <w:u w:val="single"/>
        </w:rPr>
        <w:t xml:space="preserve">     </w:t>
      </w:r>
      <w:r>
        <w:rPr>
          <w:rFonts w:ascii="Times New Roman" w:eastAsia="仿宋_GB2312" w:cs="Times New Roman"/>
        </w:rPr>
        <w:t>期向出让人支付国有建设用地使用权出让价款。</w:t>
      </w:r>
    </w:p>
    <w:p w14:paraId="6CC210B8">
      <w:pPr>
        <w:pStyle w:val="7"/>
        <w:spacing w:line="560" w:lineRule="exact"/>
        <w:ind w:firstLine="645"/>
        <w:rPr>
          <w:rFonts w:ascii="Times New Roman" w:eastAsia="仿宋_GB2312" w:cs="Times New Roman"/>
        </w:rPr>
      </w:pPr>
      <w:r>
        <w:rPr>
          <w:rFonts w:ascii="Times New Roman" w:eastAsia="仿宋_GB2312" w:cs="Times New Roman"/>
        </w:rPr>
        <w:t xml:space="preserve">第一期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 xml:space="preserve">日之前。      </w:t>
      </w:r>
    </w:p>
    <w:p w14:paraId="12EB5F55">
      <w:pPr>
        <w:pStyle w:val="7"/>
        <w:spacing w:line="560" w:lineRule="exact"/>
        <w:ind w:firstLine="645"/>
        <w:rPr>
          <w:rFonts w:ascii="Times New Roman" w:eastAsia="仿宋_GB2312" w:cs="Times New Roman"/>
        </w:rPr>
      </w:pPr>
      <w:r>
        <w:rPr>
          <w:rFonts w:ascii="Times New Roman" w:eastAsia="仿宋_GB2312" w:cs="Times New Roman"/>
        </w:rPr>
        <w:t xml:space="preserve">第二期  人民币大写 </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元），付款时间：</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w:t>
      </w:r>
    </w:p>
    <w:p w14:paraId="44484286">
      <w:pPr>
        <w:pStyle w:val="7"/>
        <w:spacing w:line="560" w:lineRule="exact"/>
        <w:ind w:firstLine="645"/>
        <w:rPr>
          <w:rFonts w:ascii="Times New Roman" w:eastAsia="仿宋_GB2312" w:cs="Times New Roman"/>
        </w:rPr>
      </w:pPr>
    </w:p>
    <w:p w14:paraId="15EA2730">
      <w:pPr>
        <w:pStyle w:val="7"/>
        <w:spacing w:line="560" w:lineRule="exact"/>
        <w:ind w:firstLine="640" w:firstLineChars="200"/>
        <w:rPr>
          <w:rFonts w:ascii="Times New Roman" w:eastAsia="仿宋_GB2312" w:cs="Times New Roman"/>
        </w:rPr>
      </w:pPr>
      <w:r>
        <w:rPr>
          <w:rFonts w:ascii="Times New Roman" w:eastAsia="仿宋_GB2312" w:cs="Times New Roman"/>
        </w:rPr>
        <w:t>分期支付国有建设用地使用权出让价款的，受让人在支付第二期及以后各期国有建设用地使用权出让价款时，同意按照支付第一期土地出让价款之日中国人民银行公布的贷款利率，向出让人支付利息。</w:t>
      </w:r>
    </w:p>
    <w:p w14:paraId="1CB85E0C">
      <w:pPr>
        <w:pStyle w:val="7"/>
        <w:spacing w:line="560" w:lineRule="exact"/>
        <w:ind w:firstLine="643" w:firstLineChars="200"/>
        <w:rPr>
          <w:rFonts w:ascii="Times New Roman" w:eastAsia="仿宋_GB2312" w:cs="Times New Roman"/>
          <w:kern w:val="0"/>
        </w:rPr>
      </w:pPr>
      <w:r>
        <w:rPr>
          <w:rFonts w:ascii="Times New Roman" w:eastAsia="方正楷体_GBK" w:cs="Times New Roman"/>
          <w:b/>
          <w:bCs/>
        </w:rPr>
        <w:t>第十一条</w:t>
      </w:r>
      <w:r>
        <w:rPr>
          <w:rFonts w:ascii="Times New Roman" w:eastAsia="仿宋_GB2312" w:cs="Times New Roman"/>
        </w:rPr>
        <w:t xml:space="preserve">  受让人应在按本合同约定付清本宗地全部出让价款后，持本合同和出让价款缴纳凭证等相关证明材料，申请出让国有建设用地使用权登记。</w:t>
      </w:r>
    </w:p>
    <w:p w14:paraId="26E292E1">
      <w:pPr>
        <w:pStyle w:val="7"/>
        <w:spacing w:line="560" w:lineRule="exact"/>
        <w:ind w:firstLine="640" w:firstLineChars="200"/>
        <w:rPr>
          <w:rFonts w:ascii="Times New Roman" w:eastAsia="仿宋_GB2312" w:cs="Times New Roman"/>
          <w:kern w:val="0"/>
        </w:rPr>
      </w:pPr>
    </w:p>
    <w:p w14:paraId="42D110DD">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第三章  土地开发建设与利用</w:t>
      </w:r>
    </w:p>
    <w:p w14:paraId="10F18279">
      <w:pPr>
        <w:pStyle w:val="7"/>
        <w:spacing w:line="560" w:lineRule="exact"/>
        <w:jc w:val="center"/>
        <w:rPr>
          <w:rFonts w:ascii="Times New Roman" w:eastAsia="仿宋_GB2312" w:cs="Times New Roman"/>
        </w:rPr>
      </w:pPr>
    </w:p>
    <w:p w14:paraId="573B9373">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第十二条</w:t>
      </w:r>
      <w:r>
        <w:rPr>
          <w:rFonts w:ascii="Times New Roman" w:eastAsia="仿宋_GB2312" w:cs="Times New Roman"/>
        </w:rPr>
        <w:t xml:space="preserve">  受让人同意本合同项下宗地开发投资强度按本条第</w:t>
      </w:r>
      <w:r>
        <w:rPr>
          <w:rFonts w:ascii="Times New Roman" w:eastAsia="仿宋_GB2312" w:cs="Times New Roman"/>
          <w:u w:val="single"/>
        </w:rPr>
        <w:t xml:space="preserve">      </w:t>
      </w:r>
      <w:r>
        <w:rPr>
          <w:rFonts w:ascii="Times New Roman" w:eastAsia="仿宋_GB2312" w:cs="Times New Roman"/>
        </w:rPr>
        <w:t>项规定执行：</w:t>
      </w:r>
    </w:p>
    <w:p w14:paraId="4408475C">
      <w:pPr>
        <w:pStyle w:val="7"/>
        <w:spacing w:line="560" w:lineRule="exact"/>
        <w:ind w:firstLine="640" w:firstLineChars="200"/>
        <w:rPr>
          <w:rFonts w:ascii="Times New Roman" w:eastAsia="仿宋_GB2312" w:cs="Times New Roman"/>
          <w:u w:val="single"/>
        </w:rPr>
      </w:pPr>
      <w:r>
        <w:rPr>
          <w:rFonts w:ascii="Times New Roman" w:eastAsia="仿宋_GB2312" w:cs="Times New Roman"/>
        </w:rPr>
        <w:t>（一）本合同项下宗地用于工业项目建设，受让人同意本合同项下宗地的项目固定资产总投资不低于经批准或登记备案的金额人民币大写</w:t>
      </w:r>
      <w:r>
        <w:rPr>
          <w:rFonts w:ascii="Times New Roman" w:eastAsia="仿宋_GB2312" w:cs="Times New Roman"/>
          <w:bCs/>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万元），投资强度不低于每平方米人民币大写</w:t>
      </w:r>
      <w:r>
        <w:rPr>
          <w:rFonts w:ascii="Times New Roman" w:eastAsia="仿宋_GB2312" w:cs="Times New Roman"/>
          <w:u w:val="single"/>
        </w:rPr>
        <w:t xml:space="preserve">     </w:t>
      </w:r>
      <w:r>
        <w:rPr>
          <w:rFonts w:ascii="Times New Roman" w:eastAsia="仿宋_GB2312" w:cs="Times New Roman"/>
        </w:rPr>
        <w:t>元（小写</w:t>
      </w:r>
      <w:r>
        <w:rPr>
          <w:rFonts w:ascii="Times New Roman" w:eastAsia="仿宋_GB2312" w:cs="Times New Roman"/>
          <w:u w:val="single"/>
        </w:rPr>
        <w:t xml:space="preserve">    </w:t>
      </w:r>
      <w:r>
        <w:rPr>
          <w:rFonts w:ascii="Times New Roman" w:eastAsia="仿宋_GB2312" w:cs="Times New Roman"/>
        </w:rPr>
        <w:t>元）。本合同项下宗地建设项目的固定资产总投资包括建筑物、构筑物及其附属设施、设备投资和出让价款等。</w:t>
      </w:r>
    </w:p>
    <w:p w14:paraId="33BD1F6A">
      <w:pPr>
        <w:pStyle w:val="7"/>
        <w:spacing w:line="560" w:lineRule="exact"/>
        <w:ind w:firstLine="640" w:firstLineChars="200"/>
        <w:rPr>
          <w:rFonts w:ascii="Times New Roman" w:eastAsia="仿宋_GB2312" w:cs="Times New Roman"/>
          <w:u w:val="single"/>
        </w:rPr>
      </w:pPr>
      <w:r>
        <w:rPr>
          <w:rFonts w:ascii="Times New Roman" w:eastAsia="仿宋_GB2312" w:cs="Times New Roman"/>
        </w:rPr>
        <w:t>（二）本合同项下宗地用于非工业项目建设，受让人承诺本合同项下宗地的开发投资总额不低于人民币大写</w:t>
      </w:r>
      <w:r>
        <w:rPr>
          <w:rFonts w:ascii="Times New Roman" w:eastAsia="仿宋_GB2312" w:cs="Times New Roman"/>
          <w:u w:val="single"/>
        </w:rPr>
        <w:t xml:space="preserve">        </w:t>
      </w:r>
    </w:p>
    <w:p w14:paraId="2594F75C">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万元（小写</w:t>
      </w:r>
      <w:r>
        <w:rPr>
          <w:rFonts w:ascii="Times New Roman" w:eastAsia="仿宋_GB2312" w:cs="Times New Roman"/>
          <w:u w:val="single"/>
        </w:rPr>
        <w:t xml:space="preserve">               </w:t>
      </w:r>
      <w:r>
        <w:rPr>
          <w:rFonts w:ascii="Times New Roman" w:eastAsia="仿宋_GB2312" w:cs="Times New Roman"/>
        </w:rPr>
        <w:t>万元）。</w:t>
      </w:r>
    </w:p>
    <w:p w14:paraId="1B376C29">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第十三条</w:t>
      </w:r>
      <w:r>
        <w:rPr>
          <w:rFonts w:ascii="Times New Roman" w:eastAsia="仿宋_GB2312" w:cs="Times New Roman"/>
        </w:rPr>
        <w:t xml:space="preserve">  受让人在本合同项下宗地范围内新建建筑物、构筑物及其附属设施的，应符合市（县）政府规划管理部门确定的出让宗地规划条件（见附件3）。其中：</w:t>
      </w:r>
    </w:p>
    <w:p w14:paraId="5F7A3C5D">
      <w:pPr>
        <w:pStyle w:val="7"/>
        <w:spacing w:line="560" w:lineRule="exact"/>
        <w:rPr>
          <w:rFonts w:ascii="Times New Roman" w:eastAsia="仿宋_GB2312" w:cs="Times New Roman"/>
        </w:rPr>
      </w:pPr>
      <w:r>
        <w:rPr>
          <w:rFonts w:ascii="Times New Roman" w:eastAsia="仿宋_GB2312" w:cs="Times New Roman"/>
        </w:rPr>
        <w:t xml:space="preserve">    主体建筑物性质</w:t>
      </w:r>
      <w:r>
        <w:rPr>
          <w:rFonts w:ascii="Times New Roman" w:eastAsia="仿宋_GB2312" w:cs="Times New Roman"/>
          <w:u w:val="single"/>
        </w:rPr>
        <w:t xml:space="preserve">                                 </w:t>
      </w:r>
      <w:r>
        <w:rPr>
          <w:rFonts w:ascii="Times New Roman" w:eastAsia="仿宋_GB2312" w:cs="Times New Roman"/>
        </w:rPr>
        <w:t>；</w:t>
      </w:r>
    </w:p>
    <w:p w14:paraId="197D6FB2">
      <w:pPr>
        <w:pStyle w:val="7"/>
        <w:spacing w:line="560" w:lineRule="exact"/>
        <w:ind w:firstLine="645"/>
        <w:rPr>
          <w:rFonts w:ascii="Times New Roman" w:eastAsia="仿宋_GB2312" w:cs="Times New Roman"/>
        </w:rPr>
      </w:pPr>
      <w:r>
        <w:rPr>
          <w:rFonts w:ascii="Times New Roman" w:eastAsia="仿宋_GB2312" w:cs="Times New Roman"/>
        </w:rPr>
        <w:t>附属建筑物性质</w:t>
      </w:r>
      <w:r>
        <w:rPr>
          <w:rFonts w:ascii="Times New Roman" w:eastAsia="仿宋_GB2312" w:cs="Times New Roman"/>
          <w:u w:val="single"/>
        </w:rPr>
        <w:t xml:space="preserve">                                 </w:t>
      </w:r>
      <w:r>
        <w:rPr>
          <w:rFonts w:ascii="Times New Roman" w:eastAsia="仿宋_GB2312" w:cs="Times New Roman"/>
        </w:rPr>
        <w:t>；</w:t>
      </w:r>
    </w:p>
    <w:p w14:paraId="6447852E">
      <w:pPr>
        <w:pStyle w:val="7"/>
        <w:spacing w:line="560" w:lineRule="exact"/>
        <w:ind w:firstLine="645"/>
        <w:rPr>
          <w:rFonts w:ascii="Times New Roman" w:eastAsia="仿宋_GB2312" w:cs="Times New Roman"/>
        </w:rPr>
      </w:pPr>
      <w:r>
        <w:rPr>
          <w:rFonts w:ascii="Times New Roman" w:eastAsia="仿宋_GB2312" w:cs="Times New Roman"/>
        </w:rPr>
        <w:t>建筑总面积</w:t>
      </w:r>
      <w:r>
        <w:rPr>
          <w:rFonts w:ascii="Times New Roman" w:eastAsia="仿宋_GB2312" w:cs="Times New Roman"/>
          <w:u w:val="single"/>
        </w:rPr>
        <w:t xml:space="preserve">                               </w:t>
      </w:r>
      <w:r>
        <w:rPr>
          <w:rFonts w:ascii="Times New Roman" w:eastAsia="仿宋_GB2312" w:cs="Times New Roman"/>
        </w:rPr>
        <w:t>平方米；</w:t>
      </w:r>
    </w:p>
    <w:p w14:paraId="5476EFCD">
      <w:pPr>
        <w:pStyle w:val="7"/>
        <w:spacing w:line="560" w:lineRule="exact"/>
        <w:rPr>
          <w:rFonts w:ascii="Times New Roman" w:eastAsia="仿宋_GB2312" w:cs="Times New Roman"/>
          <w:b/>
          <w:bCs/>
        </w:rPr>
      </w:pPr>
      <w:r>
        <w:rPr>
          <w:rFonts w:ascii="Times New Roman" w:eastAsia="仿宋_GB2312" w:cs="Times New Roman"/>
        </w:rPr>
        <w:t xml:space="preserve">    建筑容积率不高于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b/>
          <w:bCs/>
        </w:rPr>
        <w:t>；</w:t>
      </w:r>
    </w:p>
    <w:p w14:paraId="5C815AB5">
      <w:pPr>
        <w:pStyle w:val="7"/>
        <w:spacing w:line="560" w:lineRule="exact"/>
        <w:ind w:firstLine="645"/>
        <w:rPr>
          <w:rFonts w:ascii="Times New Roman" w:eastAsia="仿宋_GB2312" w:cs="Times New Roman"/>
        </w:rPr>
      </w:pPr>
      <w:r>
        <w:rPr>
          <w:rFonts w:ascii="Times New Roman" w:eastAsia="仿宋_GB2312" w:cs="Times New Roman"/>
        </w:rPr>
        <w:t>建筑限高</w:t>
      </w:r>
      <w:r>
        <w:rPr>
          <w:rFonts w:ascii="Times New Roman" w:eastAsia="仿宋_GB2312" w:cs="Times New Roman"/>
          <w:u w:val="single"/>
        </w:rPr>
        <w:t xml:space="preserve">                                       </w:t>
      </w:r>
      <w:r>
        <w:rPr>
          <w:rFonts w:ascii="Times New Roman" w:eastAsia="仿宋_GB2312" w:cs="Times New Roman"/>
        </w:rPr>
        <w:t>；</w:t>
      </w:r>
    </w:p>
    <w:p w14:paraId="1C802DFD">
      <w:pPr>
        <w:pStyle w:val="7"/>
        <w:spacing w:line="560" w:lineRule="exact"/>
        <w:ind w:firstLine="645"/>
        <w:rPr>
          <w:rFonts w:ascii="Times New Roman" w:eastAsia="仿宋_GB2312" w:cs="Times New Roman"/>
        </w:rPr>
      </w:pPr>
      <w:r>
        <w:rPr>
          <w:rFonts w:ascii="Times New Roman" w:eastAsia="仿宋_GB2312" w:cs="Times New Roman"/>
        </w:rPr>
        <w:t>建筑密度不高于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38FCFFE6">
      <w:pPr>
        <w:pStyle w:val="7"/>
        <w:spacing w:line="560" w:lineRule="exact"/>
        <w:ind w:firstLine="645"/>
        <w:rPr>
          <w:rFonts w:ascii="Times New Roman" w:eastAsia="仿宋_GB2312" w:cs="Times New Roman"/>
        </w:rPr>
      </w:pPr>
      <w:r>
        <w:rPr>
          <w:rFonts w:ascii="Times New Roman" w:eastAsia="仿宋_GB2312" w:cs="Times New Roman"/>
        </w:rPr>
        <w:t>绿地率不高于</w:t>
      </w:r>
      <w:r>
        <w:rPr>
          <w:rFonts w:ascii="Times New Roman" w:eastAsia="仿宋_GB2312" w:cs="Times New Roman"/>
          <w:u w:val="single"/>
        </w:rPr>
        <w:t xml:space="preserve">             </w:t>
      </w:r>
      <w:r>
        <w:rPr>
          <w:rFonts w:ascii="Times New Roman" w:eastAsia="仿宋_GB2312" w:cs="Times New Roman"/>
        </w:rPr>
        <w:t>不低于</w:t>
      </w:r>
      <w:r>
        <w:rPr>
          <w:rFonts w:ascii="Times New Roman" w:eastAsia="仿宋_GB2312" w:cs="Times New Roman"/>
          <w:u w:val="single"/>
        </w:rPr>
        <w:t xml:space="preserve">                </w:t>
      </w:r>
      <w:r>
        <w:rPr>
          <w:rFonts w:ascii="Times New Roman" w:eastAsia="仿宋_GB2312" w:cs="Times New Roman"/>
        </w:rPr>
        <w:t>；</w:t>
      </w:r>
    </w:p>
    <w:p w14:paraId="1B1CC4C1">
      <w:pPr>
        <w:pStyle w:val="7"/>
        <w:spacing w:line="560" w:lineRule="exact"/>
        <w:ind w:firstLine="645"/>
        <w:rPr>
          <w:rFonts w:ascii="Times New Roman" w:eastAsia="仿宋_GB2312" w:cs="Times New Roman"/>
        </w:rPr>
      </w:pPr>
      <w:r>
        <w:rPr>
          <w:rFonts w:ascii="Times New Roman" w:eastAsia="仿宋_GB2312" w:cs="Times New Roman"/>
        </w:rPr>
        <w:t>其他土地利用要求</w:t>
      </w:r>
      <w:r>
        <w:rPr>
          <w:rFonts w:ascii="Times New Roman" w:eastAsia="仿宋_GB2312" w:cs="Times New Roman"/>
          <w:u w:val="single"/>
        </w:rPr>
        <w:t xml:space="preserve">                               </w:t>
      </w:r>
      <w:r>
        <w:rPr>
          <w:rFonts w:ascii="Times New Roman" w:eastAsia="仿宋_GB2312" w:cs="Times New Roman"/>
        </w:rPr>
        <w:t>。</w:t>
      </w:r>
    </w:p>
    <w:p w14:paraId="68FEE2AF">
      <w:pPr>
        <w:pStyle w:val="7"/>
        <w:spacing w:line="560" w:lineRule="exact"/>
        <w:ind w:firstLine="645"/>
        <w:jc w:val="left"/>
        <w:rPr>
          <w:rFonts w:ascii="Times New Roman" w:eastAsia="仿宋_GB2312" w:cs="Times New Roman"/>
        </w:rPr>
      </w:pPr>
      <w:r>
        <w:rPr>
          <w:rFonts w:ascii="Times New Roman" w:eastAsia="方正楷体_GBK" w:cs="Times New Roman"/>
          <w:b/>
          <w:bCs/>
        </w:rPr>
        <w:t>第十四条</w:t>
      </w:r>
      <w:r>
        <w:rPr>
          <w:rFonts w:ascii="Times New Roman" w:eastAsia="仿宋_GB2312" w:cs="Times New Roman"/>
          <w:b/>
          <w:bCs/>
        </w:rPr>
        <w:t xml:space="preserve">  </w:t>
      </w:r>
      <w:r>
        <w:rPr>
          <w:rFonts w:ascii="Times New Roman" w:eastAsia="仿宋_GB2312" w:cs="Times New Roman"/>
        </w:rPr>
        <w:t>受让人同意本合同项下宗地建设配套按本条第</w:t>
      </w:r>
      <w:r>
        <w:rPr>
          <w:rFonts w:ascii="Times New Roman" w:eastAsia="仿宋_GB2312" w:cs="Times New Roman"/>
          <w:u w:val="single"/>
        </w:rPr>
        <w:t xml:space="preserve">     </w:t>
      </w:r>
      <w:r>
        <w:rPr>
          <w:rFonts w:ascii="Times New Roman" w:eastAsia="仿宋_GB2312" w:cs="Times New Roman"/>
        </w:rPr>
        <w:t>项规定执行：</w:t>
      </w:r>
    </w:p>
    <w:p w14:paraId="0AE08B5F">
      <w:pPr>
        <w:pStyle w:val="7"/>
        <w:spacing w:line="560" w:lineRule="exact"/>
        <w:ind w:firstLine="645"/>
        <w:jc w:val="left"/>
        <w:rPr>
          <w:rFonts w:ascii="Times New Roman" w:eastAsia="仿宋_GB2312" w:cs="Times New Roman"/>
        </w:rPr>
      </w:pPr>
      <w:r>
        <w:rPr>
          <w:rFonts w:ascii="Times New Roman" w:eastAsia="仿宋_GB2312" w:cs="Times New Roman"/>
        </w:rPr>
        <w:t>（一）本合同项下宗地用于工业项目建设，根据规划部门确定的规划设计条件，</w:t>
      </w:r>
      <w:r>
        <w:rPr>
          <w:rFonts w:ascii="Times New Roman" w:eastAsia="仿宋_GB2312" w:cs="Times New Roman"/>
          <w:spacing w:val="2"/>
        </w:rPr>
        <w:t>本合同受让宗地范围内用于企业内部行政办公及生活服务设施的占地面积不超过受让宗地面积</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％，即不超过</w:t>
      </w:r>
      <w:r>
        <w:rPr>
          <w:rFonts w:ascii="Times New Roman" w:eastAsia="仿宋_GB2312" w:cs="Times New Roman"/>
          <w:u w:val="single"/>
        </w:rPr>
        <w:t xml:space="preserve">      </w:t>
      </w:r>
      <w:r>
        <w:rPr>
          <w:rFonts w:ascii="Times New Roman" w:eastAsia="仿宋_GB2312" w:cs="Times New Roman"/>
        </w:rPr>
        <w:t>平方米, 建筑面积不超过</w:t>
      </w:r>
      <w:r>
        <w:rPr>
          <w:rFonts w:ascii="Times New Roman" w:eastAsia="仿宋_GB2312" w:cs="Times New Roman"/>
          <w:u w:val="single"/>
        </w:rPr>
        <w:t xml:space="preserve">            </w:t>
      </w:r>
      <w:r>
        <w:rPr>
          <w:rFonts w:ascii="Times New Roman" w:eastAsia="仿宋_GB2312" w:cs="Times New Roman"/>
        </w:rPr>
        <w:t>平方米。受让人同意不在受让宗地范围内建造成套住宅、专家楼、宾馆、招待所和培训中心等非生产性设施；</w:t>
      </w:r>
    </w:p>
    <w:p w14:paraId="2403944B">
      <w:pPr>
        <w:pStyle w:val="7"/>
        <w:spacing w:line="560" w:lineRule="exact"/>
        <w:ind w:firstLine="645"/>
        <w:rPr>
          <w:rFonts w:ascii="Times New Roman" w:eastAsia="仿宋_GB2312" w:cs="Times New Roman"/>
          <w:b/>
          <w:bCs/>
        </w:rPr>
      </w:pPr>
      <w:r>
        <w:rPr>
          <w:rFonts w:ascii="Times New Roman" w:eastAsia="仿宋_GB2312" w:cs="Times New Roman"/>
        </w:rPr>
        <w:t>（二）本合同项下宗地用于住宅项目建设，根据规划建设管理部门确定的规划建设条件，本合同受让宗地范围内住宅建设总套数不少于</w:t>
      </w:r>
      <w:r>
        <w:rPr>
          <w:rFonts w:ascii="Times New Roman" w:eastAsia="仿宋_GB2312" w:cs="Times New Roman"/>
          <w:u w:val="single"/>
        </w:rPr>
        <w:t xml:space="preserve">     </w:t>
      </w:r>
      <w:r>
        <w:rPr>
          <w:rFonts w:ascii="Times New Roman" w:eastAsia="仿宋_GB2312" w:cs="Times New Roman"/>
        </w:rPr>
        <w:t>套。其中，套型建筑面积90平方米以下住房套数不少于</w:t>
      </w:r>
      <w:r>
        <w:rPr>
          <w:rFonts w:ascii="Times New Roman" w:eastAsia="仿宋_GB2312" w:cs="Times New Roman"/>
          <w:u w:val="single"/>
        </w:rPr>
        <w:t xml:space="preserve">   </w:t>
      </w:r>
      <w:r>
        <w:rPr>
          <w:rFonts w:ascii="Times New Roman" w:eastAsia="仿宋_GB2312" w:cs="Times New Roman"/>
        </w:rPr>
        <w:t>套，住宅建设套型要求为</w:t>
      </w:r>
      <w:r>
        <w:rPr>
          <w:rFonts w:ascii="Times New Roman" w:eastAsia="仿宋_GB2312" w:cs="Times New Roman"/>
          <w:u w:val="single"/>
        </w:rPr>
        <w:t xml:space="preserve">     </w:t>
      </w:r>
      <w:r>
        <w:rPr>
          <w:rFonts w:ascii="Times New Roman" w:eastAsia="仿宋_GB2312" w:cs="Times New Roman"/>
        </w:rPr>
        <w:t>。本合同项下宗地范围内套型建筑面积90平方米以下住房面积占宗地开发建设总面积的比例不低于</w:t>
      </w:r>
      <w:r>
        <w:rPr>
          <w:rFonts w:ascii="Times New Roman" w:eastAsia="仿宋_GB2312" w:cs="Times New Roman"/>
          <w:u w:val="single"/>
        </w:rPr>
        <w:t xml:space="preserve">   </w:t>
      </w:r>
      <w:r>
        <w:rPr>
          <w:rFonts w:ascii="Times New Roman" w:eastAsia="仿宋_GB2312" w:cs="Times New Roman"/>
        </w:rPr>
        <w:t>％。本合同项下宗地范围内配套建设的经济适用住房、廉租住房等政府保障性住房，受让人同意建成后按本项下第</w:t>
      </w:r>
      <w:r>
        <w:rPr>
          <w:rFonts w:ascii="Times New Roman" w:eastAsia="仿宋_GB2312" w:cs="Times New Roman"/>
          <w:u w:val="single"/>
        </w:rPr>
        <w:t xml:space="preserve">   </w:t>
      </w:r>
      <w:r>
        <w:rPr>
          <w:rFonts w:ascii="Times New Roman" w:eastAsia="仿宋_GB2312" w:cs="Times New Roman"/>
          <w:b/>
          <w:bCs/>
          <w:u w:val="single"/>
        </w:rPr>
        <w:t xml:space="preserve"> </w:t>
      </w:r>
      <w:r>
        <w:rPr>
          <w:rFonts w:ascii="Times New Roman" w:eastAsia="仿宋_GB2312" w:cs="Times New Roman"/>
        </w:rPr>
        <w:t>种方式履行：</w:t>
      </w:r>
    </w:p>
    <w:p w14:paraId="6F35565E">
      <w:pPr>
        <w:pStyle w:val="7"/>
        <w:spacing w:line="560" w:lineRule="exact"/>
        <w:ind w:firstLine="640" w:firstLineChars="200"/>
        <w:rPr>
          <w:rFonts w:ascii="Times New Roman" w:eastAsia="仿宋_GB2312" w:cs="Times New Roman"/>
        </w:rPr>
      </w:pPr>
      <w:r>
        <w:rPr>
          <w:rFonts w:ascii="Times New Roman" w:eastAsia="仿宋_GB2312" w:cs="Times New Roman"/>
        </w:rPr>
        <w:t>1．移交给政府；</w:t>
      </w:r>
    </w:p>
    <w:p w14:paraId="7AC377C8">
      <w:pPr>
        <w:pStyle w:val="7"/>
        <w:spacing w:line="560" w:lineRule="exact"/>
        <w:ind w:firstLine="645"/>
        <w:rPr>
          <w:rFonts w:ascii="Times New Roman" w:eastAsia="仿宋_GB2312" w:cs="Times New Roman"/>
        </w:rPr>
      </w:pPr>
      <w:r>
        <w:rPr>
          <w:rFonts w:ascii="Times New Roman" w:eastAsia="仿宋_GB2312" w:cs="Times New Roman"/>
        </w:rPr>
        <w:t>2．由政府回购；</w:t>
      </w:r>
    </w:p>
    <w:p w14:paraId="1BBD571C">
      <w:pPr>
        <w:pStyle w:val="7"/>
        <w:spacing w:line="560" w:lineRule="exact"/>
        <w:ind w:firstLine="645"/>
        <w:rPr>
          <w:rFonts w:ascii="Times New Roman" w:eastAsia="仿宋_GB2312" w:cs="Times New Roman"/>
        </w:rPr>
      </w:pPr>
      <w:r>
        <w:rPr>
          <w:rFonts w:ascii="Times New Roman" w:eastAsia="仿宋_GB2312" w:cs="Times New Roman"/>
        </w:rPr>
        <w:t>3．按政府经济适用住房建设和销售管理的有关规定执行；</w:t>
      </w:r>
    </w:p>
    <w:p w14:paraId="6213EC9C">
      <w:pPr>
        <w:pStyle w:val="7"/>
        <w:spacing w:line="560" w:lineRule="exact"/>
        <w:ind w:firstLine="645"/>
        <w:rPr>
          <w:rFonts w:ascii="Times New Roman" w:eastAsia="仿宋_GB2312" w:cs="Times New Roman"/>
        </w:rPr>
      </w:pPr>
      <w:r>
        <w:rPr>
          <w:rFonts w:ascii="Times New Roman" w:eastAsia="仿宋_GB2312" w:cs="Times New Roman"/>
        </w:rPr>
        <w:t>4．</w:t>
      </w:r>
      <w:r>
        <w:rPr>
          <w:rFonts w:ascii="Times New Roman" w:eastAsia="仿宋_GB2312" w:cs="Times New Roman"/>
          <w:u w:val="single"/>
        </w:rPr>
        <w:t xml:space="preserve">                                             </w:t>
      </w:r>
      <w:r>
        <w:rPr>
          <w:rFonts w:ascii="Times New Roman" w:eastAsia="仿宋_GB2312" w:cs="Times New Roman"/>
        </w:rPr>
        <w:t>。</w:t>
      </w:r>
    </w:p>
    <w:p w14:paraId="765BD18A">
      <w:pPr>
        <w:pStyle w:val="7"/>
        <w:spacing w:line="560" w:lineRule="exact"/>
        <w:ind w:firstLine="643" w:firstLineChars="200"/>
        <w:rPr>
          <w:rFonts w:ascii="Times New Roman" w:eastAsia="仿宋_GB2312" w:cs="Times New Roman"/>
          <w:b/>
          <w:bCs/>
        </w:rPr>
      </w:pPr>
      <w:r>
        <w:rPr>
          <w:rFonts w:ascii="Times New Roman" w:eastAsia="方正楷体_GBK" w:cs="Times New Roman"/>
          <w:b/>
          <w:bCs/>
        </w:rPr>
        <w:t>第十五条</w:t>
      </w:r>
      <w:r>
        <w:rPr>
          <w:rFonts w:ascii="Times New Roman" w:eastAsia="仿宋_GB2312" w:cs="Times New Roman"/>
          <w:b/>
          <w:bCs/>
        </w:rPr>
        <w:t xml:space="preserve">  </w:t>
      </w:r>
      <w:r>
        <w:rPr>
          <w:rFonts w:ascii="Times New Roman" w:eastAsia="仿宋_GB2312" w:cs="Times New Roman"/>
        </w:rPr>
        <w:t>受让人同意在本合同项下宗地范围内同步修建下列工程配套项目，并在建成后无偿移交给政府：</w:t>
      </w:r>
    </w:p>
    <w:p w14:paraId="176DE00E">
      <w:pPr>
        <w:pStyle w:val="7"/>
        <w:spacing w:line="560" w:lineRule="exact"/>
        <w:rPr>
          <w:rFonts w:ascii="Times New Roman" w:eastAsia="仿宋_GB2312" w:cs="Times New Roman"/>
        </w:rPr>
      </w:pPr>
      <w:r>
        <w:rPr>
          <w:rFonts w:ascii="Times New Roman" w:eastAsia="仿宋_GB2312" w:cs="Times New Roman"/>
        </w:rPr>
        <w:t xml:space="preserve">    （一）</w:t>
      </w:r>
      <w:r>
        <w:rPr>
          <w:rFonts w:ascii="Times New Roman" w:eastAsia="仿宋_GB2312" w:cs="Times New Roman"/>
          <w:u w:val="single"/>
        </w:rPr>
        <w:t xml:space="preserve">                                           </w:t>
      </w:r>
      <w:r>
        <w:rPr>
          <w:rFonts w:ascii="Times New Roman" w:eastAsia="仿宋_GB2312" w:cs="Times New Roman"/>
        </w:rPr>
        <w:t>；</w:t>
      </w:r>
    </w:p>
    <w:p w14:paraId="64E20725">
      <w:pPr>
        <w:pStyle w:val="7"/>
        <w:spacing w:line="560" w:lineRule="exact"/>
        <w:ind w:firstLine="645"/>
        <w:rPr>
          <w:rFonts w:ascii="Times New Roman" w:eastAsia="方正楷体_GBK" w:cs="Times New Roman"/>
          <w:b/>
          <w:bCs/>
          <w:u w:val="single"/>
        </w:rPr>
      </w:pPr>
      <w:r>
        <w:rPr>
          <w:rFonts w:ascii="Times New Roman" w:eastAsia="仿宋_GB2312" w:cs="Times New Roman"/>
        </w:rPr>
        <w:t>（二）</w:t>
      </w:r>
      <w:r>
        <w:rPr>
          <w:rFonts w:ascii="Times New Roman" w:eastAsia="仿宋_GB2312" w:cs="Times New Roman"/>
          <w:u w:val="single"/>
        </w:rPr>
        <w:t xml:space="preserve">                                           </w:t>
      </w:r>
      <w:r>
        <w:rPr>
          <w:rFonts w:ascii="Times New Roman" w:eastAsia="仿宋_GB2312" w:cs="Times New Roman"/>
        </w:rPr>
        <w:t>。</w:t>
      </w:r>
    </w:p>
    <w:p w14:paraId="54027EED">
      <w:pPr>
        <w:pStyle w:val="7"/>
        <w:spacing w:line="560" w:lineRule="exact"/>
        <w:ind w:firstLine="645"/>
        <w:rPr>
          <w:rFonts w:ascii="Times New Roman" w:eastAsia="仿宋_GB2312" w:cs="Times New Roman"/>
          <w:u w:val="single"/>
        </w:rPr>
      </w:pPr>
      <w:r>
        <w:rPr>
          <w:rFonts w:ascii="Times New Roman" w:eastAsia="方正楷体_GBK" w:cs="Times New Roman"/>
          <w:b/>
          <w:bCs/>
        </w:rPr>
        <w:t>第十六条</w:t>
      </w:r>
      <w:r>
        <w:rPr>
          <w:rFonts w:ascii="Times New Roman" w:eastAsia="仿宋_GB2312" w:cs="Times New Roman"/>
        </w:rPr>
        <w:t xml:space="preserve">  受让人同意本合同项下宗地建设项目在</w:t>
      </w:r>
      <w:r>
        <w:rPr>
          <w:rFonts w:ascii="Times New Roman" w:eastAsia="仿宋_GB2312" w:cs="Times New Roman"/>
          <w:u w:val="single"/>
        </w:rPr>
        <w:t xml:space="preserve">    </w:t>
      </w:r>
    </w:p>
    <w:p w14:paraId="3DAE6E76">
      <w:pPr>
        <w:pStyle w:val="7"/>
        <w:spacing w:line="560" w:lineRule="exact"/>
        <w:rPr>
          <w:rFonts w:ascii="Times New Roman" w:eastAsia="仿宋_GB2312" w:cs="Times New Roman"/>
          <w:u w:val="single"/>
        </w:rPr>
      </w:pP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日之前开工，在</w:t>
      </w:r>
      <w:r>
        <w:rPr>
          <w:rFonts w:ascii="Times New Roman" w:eastAsia="仿宋_GB2312" w:cs="Times New Roman"/>
          <w:u w:val="single"/>
        </w:rPr>
        <w:t xml:space="preserve">    </w:t>
      </w:r>
      <w:r>
        <w:rPr>
          <w:rFonts w:ascii="Times New Roman" w:eastAsia="仿宋_GB2312" w:cs="Times New Roman"/>
        </w:rPr>
        <w:t>年</w:t>
      </w:r>
      <w:r>
        <w:rPr>
          <w:rFonts w:ascii="Times New Roman" w:eastAsia="仿宋_GB2312" w:cs="Times New Roman"/>
          <w:u w:val="single"/>
        </w:rPr>
        <w:t xml:space="preserve">   </w:t>
      </w:r>
      <w:r>
        <w:rPr>
          <w:rFonts w:ascii="Times New Roman" w:eastAsia="仿宋_GB2312" w:cs="Times New Roman"/>
        </w:rPr>
        <w:t>月</w:t>
      </w:r>
      <w:r>
        <w:rPr>
          <w:rFonts w:ascii="Times New Roman" w:eastAsia="仿宋_GB2312" w:cs="Times New Roman"/>
          <w:u w:val="single"/>
        </w:rPr>
        <w:t xml:space="preserve">  </w:t>
      </w:r>
      <w:r>
        <w:rPr>
          <w:rFonts w:ascii="Times New Roman" w:eastAsia="仿宋_GB2312" w:cs="Times New Roman"/>
        </w:rPr>
        <w:t>日之前竣工。</w:t>
      </w:r>
    </w:p>
    <w:p w14:paraId="1AD5C06B">
      <w:pPr>
        <w:pStyle w:val="7"/>
        <w:spacing w:line="560" w:lineRule="exact"/>
        <w:ind w:firstLine="640" w:firstLineChars="200"/>
        <w:rPr>
          <w:rFonts w:ascii="Times New Roman" w:eastAsia="仿宋_GB2312" w:cs="Times New Roman"/>
        </w:rPr>
      </w:pPr>
      <w:r>
        <w:rPr>
          <w:rFonts w:ascii="Times New Roman" w:eastAsia="仿宋_GB2312" w:cs="Times New Roman"/>
        </w:rPr>
        <w:t>受让人不能按期开工，应提前30日向出让人提出延建申请，经出让人同意延建的，其项目竣工时间相应顺延，但延建期限不得超过一年。</w:t>
      </w:r>
    </w:p>
    <w:p w14:paraId="1B2B7CDC">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第十七条</w:t>
      </w:r>
      <w:r>
        <w:rPr>
          <w:rFonts w:ascii="Times New Roman" w:eastAsia="仿宋_GB2312" w:cs="Times New Roman"/>
          <w:b/>
          <w:bCs/>
        </w:rPr>
        <w:t xml:space="preserve"> </w:t>
      </w:r>
      <w:r>
        <w:rPr>
          <w:rFonts w:ascii="Times New Roman" w:eastAsia="仿宋_GB2312" w:cs="Times New Roman"/>
        </w:rPr>
        <w:t xml:space="preserve"> 受让人在本合同项下宗地内进行建设时，有关用水、用气、污水及其他设施与宗地外主管线、用电变电站接口和引入工程，应按有关规定办理。</w:t>
      </w:r>
    </w:p>
    <w:p w14:paraId="78184CCB">
      <w:pPr>
        <w:pStyle w:val="7"/>
        <w:spacing w:line="560" w:lineRule="exact"/>
        <w:rPr>
          <w:rFonts w:ascii="Times New Roman" w:eastAsia="仿宋_GB2312" w:cs="Times New Roman"/>
          <w:b/>
        </w:rPr>
      </w:pPr>
      <w:r>
        <w:rPr>
          <w:rFonts w:ascii="Times New Roman" w:eastAsia="仿宋_GB2312" w:cs="Times New Roman"/>
        </w:rPr>
        <w:t xml:space="preserve">    受让人同意政府为公用事业需要而敷设的各种管道与管线进出、通过、穿越受让宗地，但由此影响受让宗地使用功能的，政府或公用事业营建主体应当给予合理补偿。</w:t>
      </w:r>
    </w:p>
    <w:p w14:paraId="63D4F72F">
      <w:pPr>
        <w:pStyle w:val="7"/>
        <w:spacing w:line="560" w:lineRule="exact"/>
        <w:ind w:firstLine="643" w:firstLineChars="200"/>
        <w:rPr>
          <w:rFonts w:ascii="Times New Roman" w:eastAsia="仿宋_GB2312" w:cs="Times New Roman"/>
        </w:rPr>
      </w:pPr>
      <w:r>
        <w:rPr>
          <w:rFonts w:ascii="Times New Roman" w:eastAsia="方正楷体_GBK" w:cs="Times New Roman"/>
          <w:b/>
          <w:bCs/>
        </w:rPr>
        <w:t>第十八条</w:t>
      </w:r>
      <w:r>
        <w:rPr>
          <w:rFonts w:ascii="Times New Roman" w:eastAsia="仿宋_GB2312" w:cs="Times New Roman"/>
        </w:rPr>
        <w:t xml:space="preserve">  受让人应当按照本合同约定的土地用途、容积率利用土地，不得擅自改变。在出让期限内，需要改变本合同约定的土地用途的，双方同意按照本条第</w:t>
      </w:r>
      <w:r>
        <w:rPr>
          <w:rFonts w:ascii="Times New Roman" w:eastAsia="仿宋_GB2312" w:cs="Times New Roman"/>
          <w:u w:val="single"/>
        </w:rPr>
        <w:t xml:space="preserve">     </w:t>
      </w:r>
      <w:r>
        <w:rPr>
          <w:rFonts w:ascii="Times New Roman" w:eastAsia="仿宋_GB2312" w:cs="Times New Roman"/>
        </w:rPr>
        <w:t>项规定办理：</w:t>
      </w:r>
    </w:p>
    <w:p w14:paraId="0C47EA27">
      <w:pPr>
        <w:pStyle w:val="7"/>
        <w:spacing w:line="560" w:lineRule="exact"/>
        <w:ind w:firstLine="640" w:firstLineChars="200"/>
        <w:rPr>
          <w:rFonts w:ascii="Times New Roman" w:eastAsia="仿宋_GB2312" w:cs="Times New Roman"/>
        </w:rPr>
      </w:pPr>
      <w:r>
        <w:rPr>
          <w:rFonts w:ascii="Times New Roman" w:eastAsia="仿宋_GB2312" w:cs="Times New Roman"/>
        </w:rPr>
        <w:t>（一）由出让人有偿收回建设用地使用权；</w:t>
      </w:r>
    </w:p>
    <w:p w14:paraId="57DA7698">
      <w:pPr>
        <w:pStyle w:val="7"/>
        <w:spacing w:line="560" w:lineRule="exact"/>
        <w:ind w:firstLine="645"/>
        <w:rPr>
          <w:rFonts w:ascii="Times New Roman" w:eastAsia="仿宋_GB2312" w:cs="Times New Roman"/>
        </w:rPr>
      </w:pPr>
      <w:r>
        <w:rPr>
          <w:rFonts w:ascii="Times New Roman" w:eastAsia="仿宋_GB2312" w:cs="Times New Roman"/>
        </w:rPr>
        <w:t>（二）依法办理改变土地用途批准手续，签订国有建设用地使用权出让合同变更协议或者重新签订国有建设用地使用权出让合同，由受让人按照批准改变时新土地用途下建设用地使用权评估市场价格与原土地用途下建设用地使用权评估市场价格的差额补缴国有建设用地使用权出让价款，办理土地变更登记。</w:t>
      </w:r>
    </w:p>
    <w:p w14:paraId="0A109A4A">
      <w:pPr>
        <w:pStyle w:val="7"/>
        <w:spacing w:line="560" w:lineRule="exact"/>
        <w:ind w:firstLine="645"/>
        <w:rPr>
          <w:rFonts w:ascii="Times New Roman" w:eastAsia="仿宋_GB2312" w:cs="Times New Roman"/>
        </w:rPr>
      </w:pPr>
      <w:r>
        <w:rPr>
          <w:rFonts w:ascii="Times New Roman" w:eastAsia="方正楷体_GBK" w:cs="Times New Roman"/>
          <w:b/>
          <w:bCs/>
        </w:rPr>
        <w:t>第十九条</w:t>
      </w:r>
      <w:r>
        <w:rPr>
          <w:rFonts w:ascii="Times New Roman" w:eastAsia="仿宋_GB2312" w:cs="Times New Roman"/>
        </w:rPr>
        <w:t xml:space="preserve">  本合同项下宗地在使用期限内，政府保留对本合同项下宗地的规划调整权，原规划如有修改，该宗地已有的建筑物不受影响，但在使用期限内该宗地建筑物、构筑物及其附属设施改建、翻建、重建，或者期限届满申请续期时，必须按届时有效的规划执行。</w:t>
      </w:r>
    </w:p>
    <w:p w14:paraId="162D78C4">
      <w:pPr>
        <w:pStyle w:val="7"/>
        <w:spacing w:line="560" w:lineRule="exact"/>
        <w:ind w:firstLine="645"/>
        <w:rPr>
          <w:rFonts w:ascii="Times New Roman" w:eastAsia="仿宋_GB2312" w:cs="Times New Roman"/>
        </w:rPr>
      </w:pPr>
      <w:r>
        <w:rPr>
          <w:rFonts w:ascii="Times New Roman" w:eastAsia="方正楷体_GBK" w:cs="Times New Roman"/>
          <w:b/>
          <w:bCs/>
        </w:rPr>
        <w:t>第二十条</w:t>
      </w:r>
      <w:r>
        <w:rPr>
          <w:rFonts w:ascii="Times New Roman" w:eastAsia="仿宋_GB2312" w:cs="Times New Roman"/>
        </w:rPr>
        <w:t>　对受让人依法使用的国有建设用地使用权，在本合同约定的使用年限届满前，出让人不得收回；在特殊情况下，根据社会公共利益需要提前收回国有建设用地使用权的，出让人应当依照法定程序报批，并根据收回时地上建筑物、构筑物及其附属设施的价值和剩余年期国有建设用地使用权的评估市场价格及经评估认定的直接损失给予土地使用者补偿。</w:t>
      </w:r>
    </w:p>
    <w:p w14:paraId="730141BC">
      <w:pPr>
        <w:pStyle w:val="7"/>
        <w:spacing w:line="560" w:lineRule="exact"/>
        <w:ind w:firstLine="645"/>
        <w:rPr>
          <w:rFonts w:ascii="Times New Roman" w:eastAsia="仿宋_GB2312" w:cs="Times New Roman"/>
        </w:rPr>
      </w:pPr>
    </w:p>
    <w:p w14:paraId="7759D617">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第四章  国有建设用地使用权转让、出租、抵押</w:t>
      </w:r>
    </w:p>
    <w:p w14:paraId="5F1947BA">
      <w:pPr>
        <w:pStyle w:val="7"/>
        <w:spacing w:line="560" w:lineRule="exact"/>
        <w:jc w:val="center"/>
        <w:rPr>
          <w:rFonts w:ascii="Times New Roman" w:eastAsia="黑体" w:cs="Times New Roman"/>
        </w:rPr>
      </w:pPr>
    </w:p>
    <w:p w14:paraId="76910754">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第二十一条</w:t>
      </w:r>
      <w:r>
        <w:rPr>
          <w:rFonts w:ascii="Times New Roman" w:eastAsia="仿宋_GB2312" w:cs="Times New Roman"/>
        </w:rPr>
        <w:t xml:space="preserve"> 受让人按照本合同约定支付全部国有建设用地使用权出让价款，领取国有土地使用证后，有权将本合同项下的全部或部分国有建设用地使用权转让、出租、抵押。首次转让的，应当符合本条第</w:t>
      </w:r>
      <w:r>
        <w:rPr>
          <w:rFonts w:ascii="Times New Roman" w:eastAsia="仿宋_GB2312" w:cs="Times New Roman"/>
          <w:u w:val="single"/>
        </w:rPr>
        <w:t xml:space="preserve">     </w:t>
      </w:r>
      <w:r>
        <w:rPr>
          <w:rFonts w:ascii="Times New Roman" w:eastAsia="仿宋_GB2312" w:cs="Times New Roman"/>
        </w:rPr>
        <w:t>项规定的条件：</w:t>
      </w:r>
    </w:p>
    <w:p w14:paraId="66B85B81">
      <w:pPr>
        <w:pStyle w:val="7"/>
        <w:spacing w:line="560" w:lineRule="exact"/>
        <w:ind w:firstLine="640" w:firstLineChars="200"/>
        <w:rPr>
          <w:rFonts w:ascii="Times New Roman" w:eastAsia="仿宋_GB2312" w:cs="Times New Roman"/>
        </w:rPr>
      </w:pPr>
      <w:r>
        <w:rPr>
          <w:rFonts w:ascii="Times New Roman" w:eastAsia="仿宋_GB2312" w:cs="Times New Roman"/>
        </w:rPr>
        <w:t>（一）按照本合同约定进行投资开发，完成开发投资总额的百分之二十五以上；</w:t>
      </w:r>
    </w:p>
    <w:p w14:paraId="4B2CDC90">
      <w:pPr>
        <w:pStyle w:val="7"/>
        <w:spacing w:line="560" w:lineRule="exact"/>
        <w:rPr>
          <w:rFonts w:ascii="Times New Roman" w:eastAsia="仿宋_GB2312" w:cs="Times New Roman"/>
        </w:rPr>
      </w:pPr>
      <w:r>
        <w:rPr>
          <w:rFonts w:ascii="Times New Roman" w:eastAsia="仿宋_GB2312" w:cs="Times New Roman"/>
        </w:rPr>
        <w:t xml:space="preserve">    （二）按照本合同约定进行投资开发，已形成工业用地或其他建设用地条件。</w:t>
      </w:r>
    </w:p>
    <w:p w14:paraId="06706353">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第二十二条</w:t>
      </w:r>
      <w:r>
        <w:rPr>
          <w:rFonts w:ascii="Times New Roman" w:eastAsia="仿宋_GB2312" w:cs="Times New Roman"/>
        </w:rPr>
        <w:t xml:space="preserve">  国有建设用地使用权的转让、出租及抵押合同，不得违背国家法律、法规规定和本合同约定。</w:t>
      </w:r>
    </w:p>
    <w:p w14:paraId="60F17A00">
      <w:pPr>
        <w:pStyle w:val="7"/>
        <w:spacing w:line="560" w:lineRule="exact"/>
        <w:ind w:firstLine="645"/>
        <w:rPr>
          <w:rFonts w:ascii="Times New Roman" w:eastAsia="仿宋_GB2312" w:cs="Times New Roman"/>
        </w:rPr>
      </w:pPr>
      <w:r>
        <w:rPr>
          <w:rFonts w:ascii="Times New Roman" w:eastAsia="方正楷体_GBK" w:cs="Times New Roman"/>
          <w:b/>
          <w:bCs/>
        </w:rPr>
        <w:t>第二十三条</w:t>
      </w:r>
      <w:r>
        <w:rPr>
          <w:rFonts w:ascii="Times New Roman" w:eastAsia="仿宋_GB2312" w:cs="Times New Roman"/>
        </w:rPr>
        <w:t xml:space="preserve">  国有建设用地使用权全部或部分转让后，本合同和土地登记文件中载明的权利、义务随之转移，国有建设用地使用权的使用年限为本合同约定的使用年限减去已经使用年限后的剩余年限。</w:t>
      </w:r>
    </w:p>
    <w:p w14:paraId="13292487">
      <w:pPr>
        <w:pStyle w:val="7"/>
        <w:spacing w:line="560" w:lineRule="exact"/>
        <w:ind w:firstLine="645"/>
        <w:rPr>
          <w:rFonts w:ascii="Times New Roman" w:eastAsia="仿宋_GB2312" w:cs="Times New Roman"/>
        </w:rPr>
      </w:pPr>
      <w:r>
        <w:rPr>
          <w:rFonts w:ascii="Times New Roman" w:eastAsia="仿宋_GB2312" w:cs="Times New Roman"/>
        </w:rPr>
        <w:t>本合同项下的全部或部分国有建设用地使用权出租后，本合同和土地登记文件中载明的权利、义务仍由受让人承担。</w:t>
      </w:r>
    </w:p>
    <w:p w14:paraId="58178AEF">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第二十四条</w:t>
      </w:r>
      <w:r>
        <w:rPr>
          <w:rFonts w:ascii="Times New Roman" w:eastAsia="仿宋_GB2312" w:cs="Times New Roman"/>
          <w:b/>
          <w:bCs/>
        </w:rPr>
        <w:t xml:space="preserve">  </w:t>
      </w:r>
      <w:r>
        <w:rPr>
          <w:rFonts w:ascii="Times New Roman" w:eastAsia="仿宋_GB2312" w:cs="Times New Roman"/>
        </w:rPr>
        <w:t>国有建设用地使用权转让、抵押的，转让、抵押双方应持本合同和相应的转让、抵押合同及国有土地使用证，到国土资源管理部门申请办理土地变更登记。</w:t>
      </w:r>
    </w:p>
    <w:p w14:paraId="30DE3B7A">
      <w:pPr>
        <w:pStyle w:val="7"/>
        <w:spacing w:line="560" w:lineRule="exact"/>
        <w:jc w:val="center"/>
        <w:rPr>
          <w:rFonts w:ascii="Times New Roman" w:eastAsia="黑体" w:cs="Times New Roman"/>
          <w:sz w:val="36"/>
          <w:szCs w:val="36"/>
        </w:rPr>
      </w:pPr>
    </w:p>
    <w:p w14:paraId="6AB388FC">
      <w:pPr>
        <w:pStyle w:val="7"/>
        <w:spacing w:line="560" w:lineRule="exact"/>
        <w:jc w:val="center"/>
        <w:rPr>
          <w:rFonts w:ascii="Times New Roman" w:eastAsia="黑体" w:cs="Times New Roman"/>
          <w:sz w:val="36"/>
          <w:szCs w:val="36"/>
        </w:rPr>
      </w:pPr>
      <w:r>
        <w:rPr>
          <w:rFonts w:ascii="Times New Roman" w:eastAsia="黑体" w:cs="Times New Roman"/>
          <w:sz w:val="36"/>
          <w:szCs w:val="36"/>
        </w:rPr>
        <w:t xml:space="preserve">第五章 期限届满   </w:t>
      </w:r>
    </w:p>
    <w:p w14:paraId="741FC6FC">
      <w:pPr>
        <w:pStyle w:val="7"/>
        <w:spacing w:line="560" w:lineRule="exact"/>
        <w:jc w:val="center"/>
        <w:rPr>
          <w:rFonts w:ascii="Times New Roman" w:eastAsia="黑体" w:cs="Times New Roman"/>
        </w:rPr>
      </w:pPr>
    </w:p>
    <w:p w14:paraId="1593B7BE">
      <w:pPr>
        <w:pStyle w:val="7"/>
        <w:spacing w:line="560" w:lineRule="exact"/>
        <w:ind w:firstLine="645"/>
        <w:rPr>
          <w:rFonts w:ascii="Times New Roman" w:eastAsia="仿宋_GB2312" w:cs="Times New Roman"/>
        </w:rPr>
      </w:pPr>
      <w:r>
        <w:rPr>
          <w:rFonts w:ascii="Times New Roman" w:eastAsia="方正楷体_GBK" w:cs="Times New Roman"/>
          <w:b/>
          <w:bCs/>
        </w:rPr>
        <w:t>第二十五条</w:t>
      </w:r>
      <w:r>
        <w:rPr>
          <w:rFonts w:ascii="Times New Roman" w:eastAsia="仿宋_GB2312" w:cs="Times New Roman"/>
        </w:rPr>
        <w:t xml:space="preserve">  本合同约定的使用年限届满，土地使用者需要继续使用本合同项下宗地的，应当至迟于届满前一年向出让人提交续期申请书，除根据社会公共利益需要收回本合同项下宗地的，出让人应当予以批准。</w:t>
      </w:r>
    </w:p>
    <w:p w14:paraId="423A66C9">
      <w:pPr>
        <w:pStyle w:val="7"/>
        <w:spacing w:line="560" w:lineRule="exact"/>
        <w:ind w:firstLine="645"/>
        <w:rPr>
          <w:rFonts w:ascii="Times New Roman" w:eastAsia="仿宋_GB2312" w:cs="Times New Roman"/>
        </w:rPr>
      </w:pPr>
      <w:r>
        <w:rPr>
          <w:rFonts w:ascii="Times New Roman" w:eastAsia="仿宋_GB2312" w:cs="Times New Roman"/>
        </w:rPr>
        <w:t>住宅建设用地使用权期限届满的，自动续期。</w:t>
      </w:r>
    </w:p>
    <w:p w14:paraId="61084DCD">
      <w:pPr>
        <w:pStyle w:val="7"/>
        <w:spacing w:line="560" w:lineRule="exact"/>
        <w:ind w:firstLine="645"/>
        <w:rPr>
          <w:rFonts w:ascii="Times New Roman" w:eastAsia="仿宋_GB2312" w:cs="Times New Roman"/>
        </w:rPr>
      </w:pPr>
      <w:r>
        <w:rPr>
          <w:rFonts w:ascii="Times New Roman" w:eastAsia="仿宋_GB2312" w:cs="Times New Roman"/>
        </w:rPr>
        <w:t>出让人同意续期的，土地使用者应当依法办理出让、租赁等有偿用地手续，重新签订出让、租赁等土地有偿使用合同，支付土地出让价款、租金等土地有偿使用费。</w:t>
      </w:r>
    </w:p>
    <w:p w14:paraId="18E94310">
      <w:pPr>
        <w:pStyle w:val="7"/>
        <w:spacing w:line="560" w:lineRule="exact"/>
        <w:ind w:firstLine="645"/>
        <w:rPr>
          <w:rFonts w:ascii="Times New Roman" w:eastAsia="仿宋_GB2312" w:cs="Times New Roman"/>
        </w:rPr>
      </w:pPr>
      <w:r>
        <w:rPr>
          <w:rFonts w:ascii="Times New Roman" w:eastAsia="方正楷体_GBK" w:cs="Times New Roman"/>
          <w:b/>
          <w:bCs/>
        </w:rPr>
        <w:t>第二十六条</w:t>
      </w:r>
      <w:r>
        <w:rPr>
          <w:rFonts w:ascii="Times New Roman" w:eastAsia="仿宋_GB2312" w:cs="Times New Roman"/>
        </w:rPr>
        <w:t xml:space="preserve">  土地出让期限届满，土地使用者申请续期，因社会公共利益需要未获批准的，土地使用者应当交回国有土地使用证，并依照规定办理国有建设用地使用权注销登记，国有建设用地使用权由出让人无偿收回。出让人和土地使用者同意本合同项下宗地上的建筑物、构筑物及其附属设施，按本条第</w:t>
      </w:r>
      <w:r>
        <w:rPr>
          <w:rFonts w:ascii="Times New Roman" w:eastAsia="仿宋_GB2312" w:cs="Times New Roman"/>
          <w:u w:val="single"/>
        </w:rPr>
        <w:t xml:space="preserve">       </w:t>
      </w:r>
      <w:r>
        <w:rPr>
          <w:rFonts w:ascii="Times New Roman" w:eastAsia="仿宋_GB2312" w:cs="Times New Roman"/>
        </w:rPr>
        <w:t>项约定履行：</w:t>
      </w:r>
    </w:p>
    <w:p w14:paraId="5053D8B8">
      <w:pPr>
        <w:pStyle w:val="7"/>
        <w:spacing w:line="560" w:lineRule="exact"/>
        <w:ind w:firstLine="645"/>
        <w:rPr>
          <w:rFonts w:ascii="Times New Roman" w:eastAsia="仿宋_GB2312" w:cs="Times New Roman"/>
        </w:rPr>
      </w:pPr>
      <w:r>
        <w:rPr>
          <w:rFonts w:ascii="Times New Roman" w:eastAsia="仿宋_GB2312" w:cs="Times New Roman"/>
        </w:rPr>
        <w:t>（一）由出让人收回地上建筑物、构筑物及其附属设施，并根据收回时地上建筑物、构筑物及其附属设施的残余价值，给予土地使用者相应补偿；</w:t>
      </w:r>
    </w:p>
    <w:p w14:paraId="6CAB0D01">
      <w:pPr>
        <w:pStyle w:val="7"/>
        <w:spacing w:line="560" w:lineRule="exact"/>
        <w:ind w:firstLine="640" w:firstLineChars="200"/>
        <w:rPr>
          <w:rFonts w:ascii="Times New Roman" w:eastAsia="仿宋_GB2312" w:cs="Times New Roman"/>
        </w:rPr>
      </w:pPr>
      <w:r>
        <w:rPr>
          <w:rFonts w:ascii="Times New Roman" w:eastAsia="仿宋_GB2312" w:cs="Times New Roman"/>
        </w:rPr>
        <w:t>（二）由出让人无偿收回地上建筑物、构筑物及其附属设施。</w:t>
      </w:r>
    </w:p>
    <w:p w14:paraId="3675F7C7">
      <w:pPr>
        <w:pStyle w:val="7"/>
        <w:spacing w:line="560" w:lineRule="exact"/>
        <w:ind w:firstLine="645"/>
        <w:rPr>
          <w:rFonts w:ascii="Times New Roman" w:eastAsia="仿宋_GB2312" w:cs="Times New Roman"/>
        </w:rPr>
      </w:pPr>
      <w:r>
        <w:rPr>
          <w:rFonts w:ascii="Times New Roman" w:eastAsia="方正楷体_GBK" w:cs="Times New Roman"/>
          <w:b/>
          <w:bCs/>
        </w:rPr>
        <w:t>第二十七条</w:t>
      </w:r>
      <w:r>
        <w:rPr>
          <w:rFonts w:ascii="Times New Roman" w:eastAsia="仿宋_GB2312" w:cs="Times New Roman"/>
        </w:rPr>
        <w:t xml:space="preserve">  土地出让期限届满，土地使用者没有申请续期的，土地使用者应当交回国有土地使用证，并依照规定办理国有建设用地使用权注销登记，国有建设用地使用权由出让人无偿收回。本合同项下宗地上的建筑物、构筑物及其附属设施，由出让人无偿收回，土地使用者应当保持地上建筑物、构筑物及其附属设施的正常使用功能，不得人为破坏。地上建筑物、构筑物及其附属设施失去正常使用功能的，出让人可要求土地使用者移动或拆除地上建筑物、构筑物及其附属设施，恢复场地平整。</w:t>
      </w:r>
    </w:p>
    <w:p w14:paraId="43D13F69">
      <w:pPr>
        <w:pStyle w:val="7"/>
        <w:spacing w:line="560" w:lineRule="exact"/>
        <w:ind w:firstLine="645"/>
        <w:rPr>
          <w:rFonts w:ascii="Times New Roman" w:eastAsia="仿宋_GB2312" w:cs="Times New Roman"/>
        </w:rPr>
      </w:pPr>
    </w:p>
    <w:p w14:paraId="748F6F6A">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第六章 不可抗力</w:t>
      </w:r>
    </w:p>
    <w:p w14:paraId="39A8D6B0">
      <w:pPr>
        <w:pStyle w:val="7"/>
        <w:spacing w:line="560" w:lineRule="exact"/>
        <w:jc w:val="center"/>
        <w:rPr>
          <w:rFonts w:ascii="Times New Roman" w:eastAsia="黑体" w:cs="Times New Roman"/>
        </w:rPr>
      </w:pPr>
    </w:p>
    <w:p w14:paraId="0E163F58">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第二十八条</w:t>
      </w:r>
      <w:r>
        <w:rPr>
          <w:rFonts w:ascii="Times New Roman" w:eastAsia="仿宋_GB2312" w:cs="Times New Roman"/>
        </w:rPr>
        <w:t xml:space="preserve"> 合同双方当事人任何一方由于不可抗力原因造成的本合同部分或全部不能履行，可以免除责任，但应在条件允许下采取一切必要的补救措施以减少因不可抗力造成的损失。当事人迟延履行期间发生的不可抗力，不具有免责效力。</w:t>
      </w:r>
    </w:p>
    <w:p w14:paraId="1891D6AD">
      <w:pPr>
        <w:pStyle w:val="7"/>
        <w:spacing w:line="560" w:lineRule="exact"/>
        <w:ind w:firstLine="645"/>
        <w:rPr>
          <w:rFonts w:ascii="Times New Roman" w:eastAsia="仿宋_GB2312" w:cs="Times New Roman"/>
        </w:rPr>
      </w:pPr>
      <w:r>
        <w:rPr>
          <w:rFonts w:ascii="Times New Roman" w:eastAsia="方正楷体_GBK" w:cs="Times New Roman"/>
          <w:b/>
          <w:bCs/>
        </w:rPr>
        <w:t>第二十九条</w:t>
      </w:r>
      <w:r>
        <w:rPr>
          <w:rFonts w:ascii="Times New Roman" w:eastAsia="仿宋_GB2312" w:cs="Times New Roman"/>
        </w:rPr>
        <w:t xml:space="preserve"> 遇有不可抗力的一方，应在7日内将不可抗力情况以信函、电报、传真等书面形式通知另一方，并在不可抗力发生后15日内，向另一方提交本合同部分或全部不能履行或需要延期履行的报告及证明。   </w:t>
      </w:r>
    </w:p>
    <w:p w14:paraId="28CBF9DA">
      <w:pPr>
        <w:pStyle w:val="7"/>
        <w:spacing w:line="560" w:lineRule="exact"/>
        <w:ind w:firstLine="645"/>
        <w:rPr>
          <w:rFonts w:ascii="Times New Roman" w:eastAsia="仿宋_GB2312" w:cs="Times New Roman"/>
        </w:rPr>
      </w:pPr>
    </w:p>
    <w:p w14:paraId="55E2AA30">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第七章 违约责任</w:t>
      </w:r>
    </w:p>
    <w:p w14:paraId="17C2393A">
      <w:pPr>
        <w:pStyle w:val="7"/>
        <w:spacing w:line="560" w:lineRule="exact"/>
        <w:jc w:val="center"/>
        <w:rPr>
          <w:rFonts w:ascii="Times New Roman" w:eastAsia="黑体" w:cs="Times New Roman"/>
        </w:rPr>
      </w:pPr>
    </w:p>
    <w:p w14:paraId="6F436955">
      <w:pPr>
        <w:pStyle w:val="7"/>
        <w:spacing w:line="560" w:lineRule="exact"/>
        <w:ind w:firstLine="645"/>
        <w:rPr>
          <w:rFonts w:ascii="Times New Roman" w:eastAsia="仿宋_GB2312" w:cs="Times New Roman"/>
          <w:u w:val="single"/>
        </w:rPr>
      </w:pPr>
      <w:r>
        <w:rPr>
          <w:rFonts w:ascii="Times New Roman" w:eastAsia="方正楷体_GBK" w:cs="Times New Roman"/>
          <w:b/>
          <w:bCs/>
        </w:rPr>
        <w:t>第三十条</w:t>
      </w:r>
      <w:r>
        <w:rPr>
          <w:rFonts w:ascii="Times New Roman" w:eastAsia="仿宋_GB2312" w:cs="Times New Roman"/>
          <w:b/>
          <w:bCs/>
        </w:rPr>
        <w:t xml:space="preserve">  </w:t>
      </w:r>
      <w:r>
        <w:rPr>
          <w:rFonts w:ascii="Times New Roman" w:eastAsia="仿宋_GB2312" w:cs="Times New Roman"/>
        </w:rPr>
        <w:t>受让人应当按照本合同约定，按时支付国有建设用地使用权出让价款。受让人不能按时支付国有建设用地使用权出让价款的，自滞纳之日起，</w:t>
      </w:r>
      <w:r>
        <w:rPr>
          <w:rFonts w:ascii="Times New Roman" w:eastAsia="仿宋_GB2312" w:cs="Times New Roman"/>
          <w:spacing w:val="26"/>
        </w:rPr>
        <w:t>每日按迟延支付款项</w:t>
      </w:r>
      <w:r>
        <w:rPr>
          <w:rFonts w:ascii="Times New Roman" w:eastAsia="仿宋_GB2312" w:cs="Times New Roman"/>
        </w:rPr>
        <w:t>的</w:t>
      </w:r>
      <w:r>
        <w:rPr>
          <w:rFonts w:ascii="Times New Roman" w:eastAsia="仿宋_GB2312" w:cs="Times New Roman"/>
          <w:u w:val="single"/>
        </w:rPr>
        <w:t xml:space="preserve">   </w:t>
      </w:r>
      <w:r>
        <w:rPr>
          <w:rFonts w:ascii="Times New Roman" w:eastAsia="仿宋_GB2312" w:cs="Times New Roman"/>
        </w:rPr>
        <w:t>‰向出让人缴纳违约金，延期付款超过60日，经出让人催交后仍不能支付国有建设用地使用权出让价款的，出让人有权解除合同，受让人无权要求返还定金，出让人并可请求受让人赔偿损失。</w:t>
      </w:r>
    </w:p>
    <w:p w14:paraId="7B798351">
      <w:pPr>
        <w:pStyle w:val="7"/>
        <w:spacing w:line="560" w:lineRule="exact"/>
        <w:ind w:firstLine="645"/>
        <w:rPr>
          <w:rFonts w:ascii="Times New Roman" w:eastAsia="仿宋_GB2312" w:cs="Times New Roman"/>
        </w:rPr>
      </w:pPr>
      <w:r>
        <w:rPr>
          <w:rFonts w:ascii="Times New Roman" w:eastAsia="方正楷体_GBK" w:cs="Times New Roman"/>
          <w:b/>
          <w:bCs/>
        </w:rPr>
        <w:t>第三十一条</w:t>
      </w:r>
      <w:r>
        <w:rPr>
          <w:rFonts w:ascii="Times New Roman" w:eastAsia="仿宋_GB2312" w:cs="Times New Roman"/>
        </w:rPr>
        <w:t>　受让人因自身原因终止该项目投资建设，向出让人提出终止履行本合同并请求退还土地的，出让人报经原批准土地出让方案的人民政府批准后，分别按以下约定，退还除本合同约定的定金以外的全部或部分国有建设用地使用权出让价款（不计利息），收回国有建设用地使用权，该宗地范围内已建的建筑物、构筑物及其附属设施可不予补偿，出让人还可要求受让人清除已建建筑物、构筑物及其附属设施，恢复场地平整；但出让人愿意继续利用该宗地范围内已建的建筑物、构筑物及其附属设施的，应给予受让人一定补偿：</w:t>
      </w:r>
    </w:p>
    <w:p w14:paraId="109B71B6">
      <w:pPr>
        <w:pStyle w:val="7"/>
        <w:spacing w:line="560" w:lineRule="exact"/>
        <w:rPr>
          <w:rFonts w:ascii="Times New Roman" w:eastAsia="仿宋_GB2312" w:cs="Times New Roman"/>
        </w:rPr>
      </w:pPr>
      <w:r>
        <w:rPr>
          <w:rFonts w:ascii="Times New Roman" w:eastAsia="仿宋_GB2312" w:cs="Times New Roman"/>
        </w:rPr>
        <w:t xml:space="preserve">    （一）受让人在本合同约定的开工建设日期届满一年前不少于60日向出让人提出申请的，出让人在扣除定金后退还受让人已支付的国有建设用地使用权出让价款；</w:t>
      </w:r>
    </w:p>
    <w:p w14:paraId="1A2F5FFB">
      <w:pPr>
        <w:pStyle w:val="7"/>
        <w:spacing w:line="560" w:lineRule="exact"/>
        <w:ind w:firstLine="645"/>
        <w:rPr>
          <w:rFonts w:ascii="Times New Roman" w:eastAsia="仿宋_GB2312" w:cs="Times New Roman"/>
        </w:rPr>
      </w:pPr>
      <w:r>
        <w:rPr>
          <w:rFonts w:ascii="Times New Roman" w:eastAsia="仿宋_GB2312" w:cs="Times New Roman"/>
        </w:rPr>
        <w:t>（二）受让人在本合同约定的开工建设日期超过一年但未满二年，并在届满二年前不少于60日向出让人提出申请的，出让人应在扣除本合同约定的定金，并按照规定征收土地闲置费后，将剩余的已付国有建设用地使用权出让价款退还受让人。</w:t>
      </w:r>
    </w:p>
    <w:p w14:paraId="5D8E1C44">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第三十二条</w:t>
      </w:r>
      <w:r>
        <w:rPr>
          <w:rFonts w:ascii="Times New Roman" w:eastAsia="仿宋_GB2312" w:cs="Times New Roman"/>
        </w:rPr>
        <w:t xml:space="preserve">  受让人造成土地闲置，闲置满一年不满两年的，应依法缴纳土地闲置费；土地闲置满两年且未开工建设的，出让人有权无偿收回国有建设用地使用权。</w:t>
      </w:r>
    </w:p>
    <w:p w14:paraId="7DBD0365">
      <w:pPr>
        <w:pStyle w:val="7"/>
        <w:spacing w:line="560" w:lineRule="exact"/>
        <w:ind w:firstLine="645"/>
        <w:rPr>
          <w:rFonts w:ascii="Times New Roman" w:eastAsia="仿宋_GB2312" w:cs="Times New Roman"/>
        </w:rPr>
      </w:pPr>
      <w:r>
        <w:rPr>
          <w:rFonts w:ascii="Times New Roman" w:eastAsia="方正楷体_GBK" w:cs="Times New Roman"/>
          <w:b/>
          <w:bCs/>
        </w:rPr>
        <w:t>第三十三条</w:t>
      </w:r>
      <w:r>
        <w:rPr>
          <w:rFonts w:ascii="Times New Roman" w:eastAsia="仿宋_GB2312" w:cs="Times New Roman"/>
        </w:rPr>
        <w:t>　受让人未能按照本合同约定日期或同意延建所另行约定日期开工建设的，每延期一日，应向出让人支付相当于国有建设用地使用权出让价款总额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‰的违约金，出让人有权要求受让人继续履约。</w:t>
      </w:r>
    </w:p>
    <w:p w14:paraId="46559793">
      <w:pPr>
        <w:pStyle w:val="7"/>
        <w:spacing w:line="560" w:lineRule="exact"/>
        <w:ind w:firstLine="640" w:firstLineChars="200"/>
        <w:rPr>
          <w:rFonts w:ascii="Times New Roman" w:eastAsia="仿宋_GB2312" w:cs="Times New Roman"/>
        </w:rPr>
      </w:pPr>
      <w:r>
        <w:rPr>
          <w:rFonts w:ascii="Times New Roman" w:eastAsia="仿宋_GB2312" w:cs="Times New Roman"/>
        </w:rPr>
        <w:t>受让人未能按照本合同约定日期或同意延建所另行约定日期竣工的，每延期一日，应向出让人支付相当于国有建设用地使用权出让价款总额</w:t>
      </w:r>
      <w:r>
        <w:rPr>
          <w:rFonts w:ascii="Times New Roman" w:eastAsia="仿宋_GB2312" w:cs="Times New Roman"/>
          <w:u w:val="single"/>
        </w:rPr>
        <w:t xml:space="preserve">   </w:t>
      </w:r>
      <w:r>
        <w:rPr>
          <w:rFonts w:ascii="Times New Roman" w:eastAsia="仿宋_GB2312" w:cs="Times New Roman"/>
        </w:rPr>
        <w:t>‰的违约金。</w:t>
      </w:r>
    </w:p>
    <w:p w14:paraId="5F0ABA7E">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第三十四条</w:t>
      </w:r>
      <w:r>
        <w:rPr>
          <w:rFonts w:ascii="Times New Roman" w:eastAsia="仿宋_GB2312" w:cs="Times New Roman"/>
        </w:rPr>
        <w:t>　项目固定资产总投资、投资强度和开发投资总额未达到本合同约定标准的，出让人可以按照实际差额部分占约定投资总额和投资强度指标的比例，要求受让人支付相当于同比例国有建设用地使用权出让价款的违约金，并可要求受让人继续履约。</w:t>
      </w:r>
    </w:p>
    <w:p w14:paraId="5C9FBC72">
      <w:pPr>
        <w:pStyle w:val="7"/>
        <w:spacing w:line="560" w:lineRule="exact"/>
        <w:ind w:firstLine="645"/>
        <w:rPr>
          <w:rFonts w:ascii="Times New Roman" w:eastAsia="仿宋_GB2312" w:cs="Times New Roman"/>
        </w:rPr>
      </w:pPr>
      <w:r>
        <w:rPr>
          <w:rFonts w:ascii="Times New Roman" w:eastAsia="方正楷体_GBK" w:cs="Times New Roman"/>
          <w:b/>
          <w:bCs/>
        </w:rPr>
        <w:t>第三十五条</w:t>
      </w:r>
      <w:r>
        <w:rPr>
          <w:rFonts w:ascii="Times New Roman" w:eastAsia="仿宋_GB2312" w:cs="Times New Roman"/>
        </w:rPr>
        <w:t>　本合同项下宗地建筑容积率、建筑密度等任何一项指标低于本合同约定的最低标准的，出让人可以按照实际差额部分占约定最低标准的比例，要求受让人支付相当于同比例国有建设用地使用权出让价款的违约金，并有权要求受让人继续履行本合同；建筑容积率、建筑密度等任何一项指标高于本合同约定最高标准的，出让人有权收回高于约定的最高标准的面积部分，有权按照实际差额部分占约定标准的比例，要求受让人支付相当于同比例国有建设用地使用权出让价款的违约金。</w:t>
      </w:r>
    </w:p>
    <w:p w14:paraId="25424D17">
      <w:pPr>
        <w:pStyle w:val="7"/>
        <w:spacing w:line="560" w:lineRule="exact"/>
        <w:ind w:firstLine="645"/>
        <w:rPr>
          <w:rFonts w:ascii="Times New Roman" w:eastAsia="仿宋_GB2312" w:cs="Times New Roman"/>
        </w:rPr>
      </w:pPr>
      <w:r>
        <w:rPr>
          <w:rFonts w:ascii="Times New Roman" w:eastAsia="方正楷体_GBK" w:cs="Times New Roman"/>
          <w:b/>
          <w:bCs/>
        </w:rPr>
        <w:t>第三十六条</w:t>
      </w:r>
      <w:r>
        <w:rPr>
          <w:rFonts w:ascii="Times New Roman" w:eastAsia="仿宋_GB2312" w:cs="Times New Roman"/>
        </w:rPr>
        <w:t xml:space="preserve">  工业建设项目的绿地率、企业内部行政办公及生活服务设施用地所占比例、企业内部行政办公及生活服务设施建筑面积等任何一项指标超过本合同约定标准的，受让人应当向出让人支付相当于宗地出让价款</w:t>
      </w:r>
      <w:r>
        <w:rPr>
          <w:rFonts w:ascii="Times New Roman" w:eastAsia="仿宋_GB2312" w:cs="Times New Roman"/>
          <w:u w:val="single"/>
        </w:rPr>
        <w:t xml:space="preserve">   </w:t>
      </w:r>
      <w:r>
        <w:rPr>
          <w:rFonts w:ascii="Times New Roman" w:eastAsia="仿宋_GB2312" w:cs="Times New Roman"/>
        </w:rPr>
        <w:t>‰的违约金，并自行拆除相应的绿化和建筑设施。</w:t>
      </w:r>
    </w:p>
    <w:p w14:paraId="24A13299">
      <w:pPr>
        <w:pStyle w:val="7"/>
        <w:spacing w:line="560" w:lineRule="exact"/>
        <w:ind w:firstLine="645"/>
        <w:rPr>
          <w:rFonts w:ascii="Times New Roman" w:eastAsia="仿宋_GB2312" w:cs="Times New Roman"/>
        </w:rPr>
      </w:pPr>
      <w:r>
        <w:rPr>
          <w:rFonts w:ascii="Times New Roman" w:eastAsia="方正楷体_GBK" w:cs="Times New Roman"/>
          <w:b/>
          <w:bCs/>
        </w:rPr>
        <w:t>第三十七条</w:t>
      </w:r>
      <w:r>
        <w:rPr>
          <w:rFonts w:ascii="Times New Roman" w:eastAsia="仿宋_GB2312" w:cs="Times New Roman"/>
        </w:rPr>
        <w:t xml:space="preserve">  受让人按本合同约定支付国有建设用地使用权出让价款的，出让人必须按照本合同约定按时交付出让土地。由于出让人未按时提供出让土地而致使受让人本合同项下宗地占有延期的，每延期一日，出让人应当按受让人已经支付的国有建设用地使用权出让价款的</w:t>
      </w:r>
      <w:r>
        <w:rPr>
          <w:rFonts w:ascii="Times New Roman" w:eastAsia="仿宋_GB2312" w:cs="Times New Roman"/>
          <w:u w:val="single"/>
        </w:rPr>
        <w:t xml:space="preserve">   </w:t>
      </w:r>
      <w:r>
        <w:rPr>
          <w:rFonts w:ascii="Times New Roman" w:eastAsia="仿宋_GB2312" w:cs="Times New Roman"/>
        </w:rPr>
        <w:t>‰向受让人给付违约金，土地使用年期自实际交付土地之日起算。出让人延期交付土地超过60日，经受让人催交后仍不能交付土地的，受让人有权解除合同，出让人应当双倍返还定金，并退还已经支付国有建设用地使用权出让价款的其余部分，受让人并可请求出让人赔偿损失。</w:t>
      </w:r>
    </w:p>
    <w:p w14:paraId="5F9079CC">
      <w:pPr>
        <w:pStyle w:val="7"/>
        <w:spacing w:line="560" w:lineRule="exact"/>
        <w:ind w:firstLine="645"/>
        <w:rPr>
          <w:rFonts w:ascii="Times New Roman" w:eastAsia="仿宋_GB2312" w:cs="Times New Roman"/>
          <w:b/>
        </w:rPr>
      </w:pPr>
      <w:r>
        <w:rPr>
          <w:rFonts w:ascii="Times New Roman" w:eastAsia="方正楷体_GBK" w:cs="Times New Roman"/>
          <w:b/>
          <w:bCs/>
        </w:rPr>
        <w:t>第三十八条</w:t>
      </w:r>
      <w:r>
        <w:rPr>
          <w:rFonts w:ascii="Times New Roman" w:eastAsia="仿宋_GB2312" w:cs="Times New Roman"/>
          <w:b/>
          <w:bCs/>
        </w:rPr>
        <w:t xml:space="preserve">  </w:t>
      </w:r>
      <w:r>
        <w:rPr>
          <w:rFonts w:ascii="Times New Roman" w:eastAsia="仿宋_GB2312" w:cs="Times New Roman"/>
        </w:rPr>
        <w:t>出让人未能按期交付土地或交付的土地未能达到本合同约定的土地条件或单方改变土地使用条件的，受让人有权要求出让人按照规定的条件履行义务，并且赔偿延误履行而给受让人造成的直接损失。土地使用年期自达到约定的土地条件之日起算。</w:t>
      </w:r>
    </w:p>
    <w:p w14:paraId="24C84C6F">
      <w:pPr>
        <w:pStyle w:val="7"/>
        <w:spacing w:line="560" w:lineRule="exact"/>
        <w:ind w:firstLine="645"/>
        <w:rPr>
          <w:rFonts w:ascii="Times New Roman" w:eastAsia="仿宋_GB2312" w:cs="Times New Roman"/>
        </w:rPr>
      </w:pPr>
    </w:p>
    <w:p w14:paraId="527D8DF9">
      <w:pPr>
        <w:pStyle w:val="7"/>
        <w:spacing w:line="560" w:lineRule="exact"/>
        <w:jc w:val="center"/>
        <w:rPr>
          <w:rFonts w:ascii="Times New Roman" w:eastAsia="黑体" w:cs="Times New Roman"/>
          <w:sz w:val="36"/>
          <w:szCs w:val="36"/>
        </w:rPr>
      </w:pPr>
      <w:r>
        <w:rPr>
          <w:rFonts w:ascii="Times New Roman" w:eastAsia="黑体" w:cs="Times New Roman"/>
          <w:sz w:val="36"/>
          <w:szCs w:val="36"/>
        </w:rPr>
        <w:t>第八章 适用法律及争议解决</w:t>
      </w:r>
    </w:p>
    <w:p w14:paraId="5B008054">
      <w:pPr>
        <w:pStyle w:val="7"/>
        <w:spacing w:line="560" w:lineRule="exact"/>
        <w:jc w:val="center"/>
        <w:rPr>
          <w:rFonts w:ascii="Times New Roman" w:eastAsia="黑体" w:cs="Times New Roman"/>
        </w:rPr>
      </w:pPr>
    </w:p>
    <w:p w14:paraId="1157821C">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第三十九条</w:t>
      </w:r>
      <w:r>
        <w:rPr>
          <w:rFonts w:ascii="Times New Roman" w:eastAsia="仿宋_GB2312" w:cs="Times New Roman"/>
        </w:rPr>
        <w:t xml:space="preserve">  本合同订立、效力、解释、履行及争议的解决，适用中华人民共和国法律。</w:t>
      </w:r>
    </w:p>
    <w:p w14:paraId="511C06EF">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第四十条</w:t>
      </w:r>
      <w:r>
        <w:rPr>
          <w:rFonts w:ascii="Times New Roman" w:eastAsia="仿宋_GB2312" w:cs="Times New Roman"/>
        </w:rPr>
        <w:t xml:space="preserve">  因履行本合同发生争议，由争议双方协商解决，协商不成的，按本条第</w:t>
      </w:r>
      <w:r>
        <w:rPr>
          <w:rFonts w:ascii="Times New Roman" w:eastAsia="仿宋_GB2312" w:cs="Times New Roman"/>
          <w:u w:val="single"/>
        </w:rPr>
        <w:t xml:space="preserve">      </w:t>
      </w:r>
      <w:r>
        <w:rPr>
          <w:rFonts w:ascii="Times New Roman" w:eastAsia="仿宋_GB2312" w:cs="Times New Roman"/>
        </w:rPr>
        <w:t>项约定的方式解决：</w:t>
      </w:r>
    </w:p>
    <w:p w14:paraId="21E1F848">
      <w:pPr>
        <w:pStyle w:val="7"/>
        <w:spacing w:line="560" w:lineRule="exact"/>
        <w:rPr>
          <w:rFonts w:ascii="Times New Roman" w:eastAsia="仿宋_GB2312" w:cs="Times New Roman"/>
        </w:rPr>
      </w:pPr>
      <w:r>
        <w:rPr>
          <w:rFonts w:ascii="Times New Roman" w:eastAsia="仿宋_GB2312" w:cs="Times New Roman"/>
        </w:rPr>
        <w:t xml:space="preserve">   （一）提交</w:t>
      </w:r>
      <w:r>
        <w:rPr>
          <w:rFonts w:ascii="Times New Roman" w:eastAsia="仿宋_GB2312" w:cs="Times New Roman"/>
          <w:u w:val="single"/>
        </w:rPr>
        <w:t xml:space="preserve">     </w:t>
      </w:r>
      <w:r>
        <w:rPr>
          <w:rFonts w:ascii="Times New Roman" w:eastAsia="仿宋_GB2312" w:cs="Times New Roman"/>
        </w:rPr>
        <w:t>仲裁委员会仲裁；</w:t>
      </w:r>
    </w:p>
    <w:p w14:paraId="207896DD">
      <w:pPr>
        <w:pStyle w:val="7"/>
        <w:spacing w:line="560" w:lineRule="exact"/>
        <w:rPr>
          <w:rFonts w:ascii="Times New Roman" w:eastAsia="仿宋_GB2312" w:cs="Times New Roman"/>
        </w:rPr>
      </w:pPr>
      <w:r>
        <w:rPr>
          <w:rFonts w:ascii="Times New Roman" w:eastAsia="仿宋_GB2312" w:cs="Times New Roman"/>
        </w:rPr>
        <w:t xml:space="preserve">   （二）依法向人民法院起诉。   </w:t>
      </w:r>
    </w:p>
    <w:p w14:paraId="771CC368">
      <w:pPr>
        <w:pStyle w:val="7"/>
        <w:spacing w:line="560" w:lineRule="exact"/>
        <w:rPr>
          <w:rFonts w:ascii="Times New Roman" w:eastAsia="仿宋_GB2312" w:cs="Times New Roman"/>
        </w:rPr>
      </w:pPr>
    </w:p>
    <w:p w14:paraId="1645775C">
      <w:pPr>
        <w:pStyle w:val="7"/>
        <w:spacing w:line="560" w:lineRule="exact"/>
        <w:jc w:val="center"/>
        <w:rPr>
          <w:rFonts w:ascii="Times New Roman" w:eastAsia="黑体" w:cs="Times New Roman"/>
          <w:sz w:val="36"/>
          <w:szCs w:val="36"/>
        </w:rPr>
      </w:pPr>
      <w:r>
        <w:rPr>
          <w:rFonts w:ascii="Times New Roman" w:eastAsia="黑体" w:cs="Times New Roman"/>
          <w:sz w:val="36"/>
          <w:szCs w:val="36"/>
        </w:rPr>
        <w:t>第九章  附 则</w:t>
      </w:r>
    </w:p>
    <w:p w14:paraId="099409DF">
      <w:pPr>
        <w:pStyle w:val="7"/>
        <w:spacing w:line="560" w:lineRule="exact"/>
        <w:jc w:val="center"/>
        <w:rPr>
          <w:rFonts w:ascii="Times New Roman" w:eastAsia="黑体" w:cs="Times New Roman"/>
        </w:rPr>
      </w:pPr>
    </w:p>
    <w:p w14:paraId="115898E8">
      <w:pPr>
        <w:pStyle w:val="7"/>
        <w:spacing w:line="560" w:lineRule="exact"/>
        <w:ind w:firstLine="645"/>
        <w:rPr>
          <w:rFonts w:ascii="Times New Roman" w:eastAsia="仿宋_GB2312" w:cs="Times New Roman"/>
        </w:rPr>
      </w:pPr>
      <w:r>
        <w:rPr>
          <w:rFonts w:ascii="Times New Roman" w:eastAsia="方正楷体_GBK" w:cs="Times New Roman"/>
          <w:b/>
          <w:bCs/>
        </w:rPr>
        <w:t>第四十一条</w:t>
      </w:r>
      <w:r>
        <w:rPr>
          <w:rFonts w:ascii="Times New Roman" w:eastAsia="仿宋_GB2312" w:cs="Times New Roman"/>
        </w:rPr>
        <w:t xml:space="preserve"> 本合同项下宗地出让方案业经</w:t>
      </w:r>
      <w:r>
        <w:rPr>
          <w:rFonts w:ascii="Times New Roman" w:eastAsia="仿宋_GB2312" w:cs="Times New Roman"/>
          <w:u w:val="single"/>
        </w:rPr>
        <w:t xml:space="preserve">     </w:t>
      </w:r>
      <w:r>
        <w:rPr>
          <w:rFonts w:ascii="Times New Roman" w:eastAsia="仿宋_GB2312" w:cs="Times New Roman"/>
        </w:rPr>
        <w:t>人民政府批准，本合同自双方签订之日起生效。</w:t>
      </w:r>
    </w:p>
    <w:p w14:paraId="1E218EC6">
      <w:pPr>
        <w:pStyle w:val="7"/>
        <w:spacing w:line="560" w:lineRule="exact"/>
        <w:ind w:firstLine="645"/>
        <w:rPr>
          <w:rFonts w:ascii="Times New Roman" w:eastAsia="仿宋_GB2312" w:cs="Times New Roman"/>
          <w:b/>
          <w:bCs/>
        </w:rPr>
      </w:pPr>
      <w:r>
        <w:rPr>
          <w:rFonts w:ascii="Times New Roman" w:eastAsia="方正楷体_GBK" w:cs="Times New Roman"/>
          <w:b/>
          <w:bCs/>
        </w:rPr>
        <w:t>第四十二条</w:t>
      </w:r>
      <w:r>
        <w:rPr>
          <w:rFonts w:ascii="Times New Roman" w:eastAsia="仿宋_GB2312" w:cs="Times New Roman"/>
          <w:b/>
          <w:bCs/>
        </w:rPr>
        <w:t xml:space="preserve">  </w:t>
      </w:r>
      <w:r>
        <w:rPr>
          <w:rFonts w:ascii="Times New Roman" w:eastAsia="仿宋_GB2312" w:cs="Times New Roman"/>
        </w:rPr>
        <w:t>本</w:t>
      </w:r>
      <w:r>
        <w:rPr>
          <w:rFonts w:ascii="Times New Roman" w:eastAsia="仿宋_GB2312" w:cs="Times New Roman"/>
          <w:kern w:val="0"/>
        </w:rPr>
        <w:t>合同双方当事人均保证本合同中所填写的姓名、</w:t>
      </w:r>
      <w:r>
        <w:rPr>
          <w:rFonts w:ascii="Times New Roman" w:eastAsia="仿宋_GB2312" w:cs="Times New Roman"/>
        </w:rPr>
        <w:t>通讯地址、电话、传真、开户银行、</w:t>
      </w:r>
      <w:r>
        <w:rPr>
          <w:rFonts w:ascii="Times New Roman" w:eastAsia="仿宋_GB2312" w:cs="Times New Roman"/>
          <w:kern w:val="0"/>
        </w:rPr>
        <w:t>代理人等内容的真实有效，一方的信息如有变更，应于变更之日起15日内以书面形式告知对方，否则由此引起的无法及时告知的责任由信息变更方承担。</w:t>
      </w:r>
    </w:p>
    <w:p w14:paraId="4A7ECE6F">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第四十三条</w:t>
      </w:r>
      <w:r>
        <w:rPr>
          <w:rFonts w:ascii="Times New Roman" w:eastAsia="仿宋_GB2312" w:cs="Times New Roman"/>
        </w:rPr>
        <w:t xml:space="preserve">  本合同和附件共</w:t>
      </w:r>
      <w:r>
        <w:rPr>
          <w:rFonts w:ascii="Times New Roman" w:eastAsia="仿宋_GB2312" w:cs="Times New Roman"/>
          <w:u w:val="single"/>
        </w:rPr>
        <w:t xml:space="preserve">      </w:t>
      </w:r>
      <w:r>
        <w:rPr>
          <w:rFonts w:ascii="Times New Roman" w:eastAsia="仿宋_GB2312" w:cs="Times New Roman"/>
        </w:rPr>
        <w:t>页整，以中文书写为准。</w:t>
      </w:r>
    </w:p>
    <w:p w14:paraId="57683750">
      <w:pPr>
        <w:pStyle w:val="7"/>
        <w:spacing w:line="560" w:lineRule="exact"/>
        <w:rPr>
          <w:rFonts w:ascii="Times New Roman" w:eastAsia="仿宋_GB2312" w:cs="Times New Roman"/>
        </w:rPr>
      </w:pPr>
      <w:r>
        <w:rPr>
          <w:rFonts w:ascii="Times New Roman" w:eastAsia="仿宋_GB2312" w:cs="Times New Roman"/>
        </w:rPr>
        <w:t xml:space="preserve">    </w:t>
      </w:r>
      <w:r>
        <w:rPr>
          <w:rFonts w:ascii="Times New Roman" w:eastAsia="方正楷体_GBK" w:cs="Times New Roman"/>
          <w:b/>
          <w:bCs/>
        </w:rPr>
        <w:t>第四十四条</w:t>
      </w:r>
      <w:r>
        <w:rPr>
          <w:rFonts w:ascii="Times New Roman" w:eastAsia="仿宋_GB2312" w:cs="Times New Roman"/>
        </w:rPr>
        <w:t xml:space="preserve">  本合同的价款、金额、面积等项应当同时以大、小写表示，大小写数额应当一致，不一致的，以大写为准。</w:t>
      </w:r>
    </w:p>
    <w:p w14:paraId="4403CC7E">
      <w:pPr>
        <w:pStyle w:val="7"/>
        <w:spacing w:line="560" w:lineRule="exact"/>
        <w:ind w:firstLine="645"/>
        <w:rPr>
          <w:rFonts w:ascii="Times New Roman" w:eastAsia="仿宋_GB2312" w:cs="Times New Roman"/>
        </w:rPr>
      </w:pPr>
      <w:r>
        <w:rPr>
          <w:rFonts w:ascii="Times New Roman" w:eastAsia="方正楷体_GBK" w:cs="Times New Roman"/>
          <w:b/>
          <w:bCs/>
        </w:rPr>
        <w:t>第四十五条</w:t>
      </w:r>
      <w:r>
        <w:rPr>
          <w:rFonts w:ascii="Times New Roman" w:eastAsia="仿宋_GB2312" w:cs="Times New Roman"/>
        </w:rPr>
        <w:t xml:space="preserve">  本合同未尽事宜，可由双方约定后作为合同附件，与本合同具有同等法律效力。</w:t>
      </w:r>
    </w:p>
    <w:p w14:paraId="05616C77">
      <w:pPr>
        <w:pStyle w:val="7"/>
        <w:spacing w:line="560" w:lineRule="exact"/>
        <w:ind w:firstLine="645"/>
        <w:rPr>
          <w:rFonts w:ascii="Times New Roman" w:eastAsia="仿宋_GB2312" w:cs="Times New Roman"/>
        </w:rPr>
      </w:pPr>
      <w:r>
        <w:rPr>
          <w:rFonts w:ascii="Times New Roman" w:eastAsia="方正楷体_GBK" w:cs="Times New Roman"/>
          <w:b/>
          <w:bCs/>
        </w:rPr>
        <w:t>第四十六条</w:t>
      </w:r>
      <w:r>
        <w:rPr>
          <w:rFonts w:ascii="Times New Roman" w:eastAsia="仿宋_GB2312" w:cs="Times New Roman"/>
        </w:rPr>
        <w:t xml:space="preserve">  本合同一式</w:t>
      </w:r>
      <w:r>
        <w:rPr>
          <w:rFonts w:ascii="Times New Roman" w:eastAsia="仿宋_GB2312" w:cs="Times New Roman"/>
          <w:u w:val="single"/>
        </w:rPr>
        <w:t xml:space="preserve">   </w:t>
      </w:r>
      <w:r>
        <w:rPr>
          <w:rFonts w:ascii="Times New Roman" w:eastAsia="仿宋_GB2312" w:cs="Times New Roman"/>
        </w:rPr>
        <w:t>份，出让人</w:t>
      </w:r>
      <w:r>
        <w:rPr>
          <w:rFonts w:ascii="Times New Roman" w:eastAsia="仿宋_GB2312" w:cs="Times New Roman"/>
          <w:u w:val="single"/>
        </w:rPr>
        <w:t xml:space="preserve">   </w:t>
      </w:r>
      <w:r>
        <w:rPr>
          <w:rFonts w:ascii="Times New Roman" w:eastAsia="仿宋_GB2312" w:cs="Times New Roman"/>
        </w:rPr>
        <w:t>份,受让人</w:t>
      </w:r>
    </w:p>
    <w:p w14:paraId="2A72AD04">
      <w:pPr>
        <w:pStyle w:val="7"/>
        <w:spacing w:line="560" w:lineRule="exact"/>
        <w:rPr>
          <w:rFonts w:ascii="Times New Roman" w:eastAsia="仿宋_GB2312" w:cs="Times New Roman"/>
        </w:rPr>
      </w:pPr>
      <w:r>
        <w:rPr>
          <w:rFonts w:ascii="Times New Roman" w:eastAsia="仿宋_GB2312" w:cs="Times New Roman"/>
          <w:u w:val="single"/>
        </w:rPr>
        <w:t xml:space="preserve">    </w:t>
      </w:r>
      <w:r>
        <w:rPr>
          <w:rFonts w:ascii="Times New Roman" w:eastAsia="仿宋_GB2312" w:cs="Times New Roman"/>
        </w:rPr>
        <w:t>份，具有同等法律效力。</w:t>
      </w:r>
    </w:p>
    <w:p w14:paraId="01E65490">
      <w:pPr>
        <w:pStyle w:val="7"/>
        <w:spacing w:line="560" w:lineRule="exact"/>
        <w:rPr>
          <w:rFonts w:ascii="Times New Roman" w:eastAsia="仿宋_GB2312" w:cs="Times New Roman"/>
        </w:rPr>
      </w:pPr>
    </w:p>
    <w:p w14:paraId="14F4C5A8">
      <w:pPr>
        <w:pStyle w:val="7"/>
        <w:spacing w:line="560" w:lineRule="exact"/>
        <w:rPr>
          <w:rFonts w:ascii="Times New Roman" w:eastAsia="仿宋_GB2312" w:cs="Times New Roman"/>
        </w:rPr>
      </w:pPr>
    </w:p>
    <w:p w14:paraId="405E54B7">
      <w:pPr>
        <w:pStyle w:val="7"/>
        <w:spacing w:line="560" w:lineRule="exact"/>
        <w:rPr>
          <w:rFonts w:ascii="Times New Roman" w:eastAsia="仿宋_GB2312" w:cs="Times New Roman"/>
        </w:rPr>
      </w:pPr>
    </w:p>
    <w:p w14:paraId="42B78528">
      <w:pPr>
        <w:pStyle w:val="7"/>
        <w:spacing w:line="560" w:lineRule="exact"/>
        <w:rPr>
          <w:rFonts w:ascii="Times New Roman" w:eastAsia="仿宋_GB2312" w:cs="Times New Roman"/>
        </w:rPr>
      </w:pPr>
    </w:p>
    <w:p w14:paraId="4DEABF95">
      <w:pPr>
        <w:pStyle w:val="7"/>
        <w:spacing w:line="560" w:lineRule="exact"/>
        <w:rPr>
          <w:rFonts w:ascii="Times New Roman" w:eastAsia="仿宋_GB2312" w:cs="Times New Roman"/>
        </w:rPr>
      </w:pPr>
    </w:p>
    <w:p w14:paraId="5E28AF8C">
      <w:pPr>
        <w:pStyle w:val="7"/>
        <w:spacing w:line="560" w:lineRule="exact"/>
        <w:rPr>
          <w:rFonts w:ascii="Times New Roman" w:eastAsia="仿宋_GB2312" w:cs="Times New Roman"/>
        </w:rPr>
      </w:pPr>
    </w:p>
    <w:p w14:paraId="61751521">
      <w:pPr>
        <w:pStyle w:val="7"/>
        <w:spacing w:line="560" w:lineRule="exact"/>
        <w:rPr>
          <w:rFonts w:ascii="Times New Roman" w:eastAsia="仿宋_GB2312" w:cs="Times New Roman"/>
        </w:rPr>
      </w:pPr>
    </w:p>
    <w:p w14:paraId="10867576">
      <w:pPr>
        <w:pStyle w:val="7"/>
        <w:spacing w:line="560" w:lineRule="exact"/>
        <w:rPr>
          <w:rFonts w:ascii="Times New Roman" w:eastAsia="仿宋_GB2312" w:cs="Times New Roman"/>
        </w:rPr>
      </w:pPr>
    </w:p>
    <w:p w14:paraId="2158E120">
      <w:pPr>
        <w:pStyle w:val="7"/>
        <w:spacing w:line="560" w:lineRule="exact"/>
        <w:rPr>
          <w:rFonts w:ascii="Times New Roman" w:eastAsia="仿宋_GB2312" w:cs="Times New Roman"/>
        </w:rPr>
      </w:pPr>
    </w:p>
    <w:p w14:paraId="56924C6C">
      <w:pPr>
        <w:pStyle w:val="7"/>
        <w:spacing w:line="560" w:lineRule="exact"/>
        <w:rPr>
          <w:rFonts w:ascii="Times New Roman" w:eastAsia="仿宋_GB2312" w:cs="Times New Roman"/>
        </w:rPr>
      </w:pPr>
      <w:r>
        <w:rPr>
          <w:rFonts w:ascii="Times New Roman" w:eastAsia="仿宋_GB2312" w:cs="Times New Roman"/>
        </w:rPr>
        <w:t>出让人（章）：               受让人（章）：</w:t>
      </w:r>
    </w:p>
    <w:p w14:paraId="1329A13C">
      <w:pPr>
        <w:pStyle w:val="7"/>
        <w:spacing w:line="560" w:lineRule="exact"/>
        <w:rPr>
          <w:rFonts w:ascii="Times New Roman" w:eastAsia="仿宋_GB2312" w:cs="Times New Roman"/>
        </w:rPr>
      </w:pPr>
    </w:p>
    <w:p w14:paraId="4B8F60FD">
      <w:pPr>
        <w:pStyle w:val="7"/>
        <w:spacing w:line="560" w:lineRule="exact"/>
        <w:rPr>
          <w:rFonts w:ascii="Times New Roman" w:eastAsia="仿宋_GB2312" w:cs="Times New Roman"/>
        </w:rPr>
      </w:pPr>
    </w:p>
    <w:p w14:paraId="608D49ED">
      <w:pPr>
        <w:pStyle w:val="7"/>
        <w:spacing w:line="560" w:lineRule="exact"/>
        <w:rPr>
          <w:rFonts w:ascii="Times New Roman" w:eastAsia="仿宋_GB2312" w:cs="Times New Roman"/>
        </w:rPr>
      </w:pPr>
      <w:r>
        <w:rPr>
          <w:rFonts w:ascii="Times New Roman" w:eastAsia="仿宋_GB2312" w:cs="Times New Roman"/>
        </w:rPr>
        <w:t>法定代表人（委托代理人）    法定代表人(委托代理人)：</w:t>
      </w:r>
    </w:p>
    <w:p w14:paraId="683D784A">
      <w:pPr>
        <w:pStyle w:val="7"/>
        <w:spacing w:line="560" w:lineRule="exact"/>
        <w:rPr>
          <w:rFonts w:ascii="Times New Roman" w:eastAsia="仿宋_GB2312" w:cs="Times New Roman"/>
        </w:rPr>
      </w:pPr>
      <w:r>
        <w:rPr>
          <w:rFonts w:ascii="Times New Roman" w:eastAsia="仿宋_GB2312" w:cs="Times New Roman"/>
        </w:rPr>
        <w:t>（签字）：                  （签字）：</w:t>
      </w:r>
    </w:p>
    <w:p w14:paraId="3A340E40">
      <w:pPr>
        <w:pStyle w:val="7"/>
        <w:spacing w:line="560" w:lineRule="exact"/>
        <w:ind w:left="5250"/>
        <w:rPr>
          <w:rFonts w:ascii="Times New Roman" w:eastAsia="仿宋_GB2312" w:cs="Times New Roman"/>
        </w:rPr>
      </w:pPr>
    </w:p>
    <w:p w14:paraId="72A6961E">
      <w:pPr>
        <w:pStyle w:val="7"/>
        <w:spacing w:line="560" w:lineRule="exact"/>
        <w:ind w:left="5250"/>
        <w:rPr>
          <w:rFonts w:ascii="Times New Roman" w:eastAsia="仿宋_GB2312" w:cs="Times New Roman"/>
        </w:rPr>
      </w:pPr>
    </w:p>
    <w:p w14:paraId="7DBFF23D">
      <w:pPr>
        <w:pStyle w:val="7"/>
        <w:spacing w:line="560" w:lineRule="exact"/>
        <w:ind w:firstLine="640" w:firstLineChars="200"/>
        <w:rPr>
          <w:rFonts w:ascii="Times New Roman" w:eastAsia="仿宋_GB2312" w:cs="Times New Roman"/>
        </w:rPr>
      </w:pPr>
      <w:r>
        <w:rPr>
          <w:rFonts w:ascii="Times New Roman" w:eastAsia="仿宋_GB2312" w:cs="Times New Roman"/>
        </w:rPr>
        <w:t xml:space="preserve">                           年   月   日</w:t>
      </w:r>
    </w:p>
    <w:p w14:paraId="1DAED5E8">
      <w:pPr>
        <w:pStyle w:val="7"/>
        <w:spacing w:line="560" w:lineRule="exact"/>
        <w:ind w:firstLine="640" w:firstLineChars="200"/>
        <w:rPr>
          <w:rFonts w:ascii="Times New Roman" w:eastAsia="仿宋_GB2312" w:cs="Times New Roman"/>
        </w:rPr>
      </w:pPr>
    </w:p>
    <w:p w14:paraId="3A580248">
      <w:pPr>
        <w:pStyle w:val="7"/>
        <w:spacing w:line="560" w:lineRule="exact"/>
        <w:ind w:firstLine="640" w:firstLineChars="200"/>
        <w:rPr>
          <w:rFonts w:ascii="Times New Roman" w:eastAsia="仿宋_GB2312" w:cs="Times New Roman"/>
        </w:rPr>
      </w:pPr>
    </w:p>
    <w:p w14:paraId="4521C1AA">
      <w:pPr>
        <w:pStyle w:val="7"/>
        <w:spacing w:line="560" w:lineRule="exact"/>
        <w:ind w:firstLine="640" w:firstLineChars="200"/>
        <w:rPr>
          <w:rFonts w:ascii="Times New Roman" w:eastAsia="仿宋_GB2312" w:cs="Times New Roman"/>
        </w:rPr>
      </w:pPr>
    </w:p>
    <w:p w14:paraId="674E42AE">
      <w:pPr>
        <w:pStyle w:val="7"/>
        <w:spacing w:line="560" w:lineRule="exact"/>
        <w:ind w:firstLine="640" w:firstLineChars="200"/>
        <w:rPr>
          <w:rFonts w:ascii="Times New Roman" w:eastAsia="仿宋_GB2312" w:cs="Times New Roman"/>
        </w:rPr>
      </w:pPr>
    </w:p>
    <w:p w14:paraId="1233E8B4">
      <w:pPr>
        <w:pStyle w:val="7"/>
        <w:spacing w:line="560" w:lineRule="exact"/>
        <w:rPr>
          <w:rFonts w:ascii="Times New Roman" w:eastAsia="仿宋_GB2312" w:cs="Times New Roman"/>
        </w:rPr>
      </w:pPr>
    </w:p>
    <w:p w14:paraId="697C6C33">
      <w:pPr>
        <w:pStyle w:val="7"/>
        <w:spacing w:line="560" w:lineRule="exact"/>
        <w:rPr>
          <w:rFonts w:ascii="Times New Roman" w:eastAsia="仿宋_GB2312" w:cs="Times New Roman"/>
        </w:rPr>
      </w:pPr>
    </w:p>
    <w:p w14:paraId="0DD46454">
      <w:pPr>
        <w:pStyle w:val="7"/>
        <w:spacing w:line="560" w:lineRule="exact"/>
        <w:rPr>
          <w:rFonts w:ascii="Times New Roman" w:eastAsia="仿宋_GB2312" w:cs="Times New Roman"/>
        </w:rPr>
      </w:pPr>
    </w:p>
    <w:p w14:paraId="6150DDD7">
      <w:pPr>
        <w:pStyle w:val="7"/>
        <w:spacing w:line="560" w:lineRule="exact"/>
        <w:rPr>
          <w:rFonts w:ascii="Times New Roman" w:eastAsia="仿宋_GB2312" w:cs="Times New Roman"/>
        </w:rPr>
      </w:pPr>
    </w:p>
    <w:p w14:paraId="54CE4EDE">
      <w:pPr>
        <w:pStyle w:val="7"/>
        <w:spacing w:line="560" w:lineRule="exact"/>
        <w:rPr>
          <w:rFonts w:ascii="Times New Roman" w:eastAsia="仿宋_GB2312" w:cs="Times New Roman"/>
        </w:rPr>
      </w:pPr>
    </w:p>
    <w:p w14:paraId="152E7EF9">
      <w:pPr>
        <w:pStyle w:val="7"/>
        <w:spacing w:line="560" w:lineRule="exact"/>
        <w:rPr>
          <w:rFonts w:ascii="Times New Roman" w:eastAsia="仿宋_GB2312" w:cs="Times New Roman"/>
        </w:rPr>
      </w:pPr>
      <w:r>
        <w:rPr>
          <w:rFonts w:ascii="Times New Roman" w:eastAsia="仿宋_GB2312" w:cs="Times New Roman"/>
        </w:rPr>
        <w:t>附件1：</w:t>
      </w:r>
    </w:p>
    <w:p w14:paraId="2E0B5E82">
      <w:pPr>
        <w:jc w:val="center"/>
        <w:rPr>
          <w:rFonts w:eastAsia="黑体"/>
          <w:sz w:val="36"/>
          <w:szCs w:val="36"/>
        </w:rPr>
      </w:pPr>
    </w:p>
    <w:p w14:paraId="091D8F18">
      <w:pPr>
        <w:jc w:val="center"/>
        <w:rPr>
          <w:rFonts w:eastAsia="黑体"/>
          <w:sz w:val="36"/>
          <w:szCs w:val="36"/>
        </w:rPr>
      </w:pPr>
      <w:r>
        <w:rPr>
          <w:rFonts w:eastAsia="黑体"/>
          <w:sz w:val="36"/>
          <w:szCs w:val="36"/>
        </w:rPr>
        <w:t>出让宗地平面界址图</w:t>
      </w:r>
    </w:p>
    <w:p w14:paraId="157F722F">
      <w:pPr>
        <w:jc w:val="center"/>
        <w:rPr>
          <w:rFonts w:eastAsia="黑体"/>
          <w:sz w:val="36"/>
          <w:szCs w:val="36"/>
        </w:rPr>
      </w:pPr>
      <w:r>
        <w:rPr>
          <w:rFonts w:eastAsia="黑体"/>
          <w:sz w:val="36"/>
          <w:szCs w:val="36"/>
        </w:rPr>
        <w:t xml:space="preserve">                                       </w:t>
      </w:r>
    </w:p>
    <w:p w14:paraId="5C9EFDF7">
      <w:pPr>
        <w:jc w:val="center"/>
        <w:rPr>
          <w:rFonts w:eastAsia="黑体"/>
          <w:sz w:val="36"/>
          <w:szCs w:val="36"/>
        </w:rPr>
      </w:pPr>
    </w:p>
    <w:p w14:paraId="02B26413">
      <w:pPr>
        <w:jc w:val="center"/>
        <w:rPr>
          <w:rFonts w:eastAsia="Times New Roman"/>
        </w:rPr>
      </w:pPr>
      <w:r>
        <w:rPr>
          <w:rFonts w:eastAsia="黑体"/>
        </w:rPr>
        <w:t xml:space="preserve">                                    </w:t>
      </w:r>
      <w:r>
        <w:rPr>
          <w:rFonts w:eastAsia="楷体_GB2312"/>
          <w:b/>
          <w:bCs/>
        </w:rPr>
        <w:t>北</w:t>
      </w:r>
      <w:r>
        <w:fldChar w:fldCharType="begin" w:fldLock="1"/>
      </w:r>
      <w:r>
        <w:instrText xml:space="preserve">ref  SHAPE  \* MERGEFORMAT </w:instrText>
      </w:r>
      <w:r>
        <w:fldChar w:fldCharType="separate"/>
      </w:r>
      <w:r>
        <w:drawing>
          <wp:inline distT="0" distB="0" distL="0" distR="0">
            <wp:extent cx="5238750" cy="4914900"/>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8"/>
                    <a:srcRect t="-99445" b="99445"/>
                    <a:stretch>
                      <a:fillRect/>
                    </a:stretch>
                  </pic:blipFill>
                  <pic:spPr>
                    <a:xfrm>
                      <a:off x="0" y="0"/>
                      <a:ext cx="5238750" cy="4914900"/>
                    </a:xfrm>
                    <a:prstGeom prst="rect">
                      <a:avLst/>
                    </a:prstGeom>
                    <a:noFill/>
                    <a:ln w="9525">
                      <a:noFill/>
                      <a:miter lim="800000"/>
                      <a:headEnd/>
                      <a:tailEnd/>
                    </a:ln>
                  </pic:spPr>
                </pic:pic>
              </a:graphicData>
            </a:graphic>
          </wp:inline>
        </w:drawing>
      </w:r>
      <w:r>
        <w:fldChar w:fldCharType="end"/>
      </w:r>
    </w:p>
    <w:p w14:paraId="4797E981">
      <w:pPr>
        <w:jc w:val="center"/>
      </w:pPr>
    </w:p>
    <w:p w14:paraId="00F8D649">
      <w:pPr>
        <w:jc w:val="center"/>
      </w:pPr>
    </w:p>
    <w:p w14:paraId="4B9C0375">
      <w:pPr>
        <w:jc w:val="center"/>
        <w:rPr>
          <w:rFonts w:eastAsia="楷体_GB2312"/>
          <w:b/>
          <w:bCs/>
          <w:sz w:val="30"/>
          <w:szCs w:val="30"/>
          <w:u w:val="single"/>
        </w:rPr>
      </w:pPr>
      <w:r>
        <w:rPr>
          <w:rFonts w:eastAsia="楷体_GB2312"/>
          <w:b/>
          <w:bCs/>
          <w:sz w:val="30"/>
          <w:szCs w:val="30"/>
        </w:rPr>
        <w:t>比例尺：1：</w:t>
      </w:r>
      <w:r>
        <w:rPr>
          <w:rFonts w:eastAsia="楷体_GB2312"/>
          <w:b/>
          <w:bCs/>
          <w:sz w:val="30"/>
          <w:szCs w:val="30"/>
          <w:u w:val="single"/>
        </w:rPr>
        <w:t xml:space="preserve">               </w:t>
      </w:r>
    </w:p>
    <w:p w14:paraId="68E1E392">
      <w:pPr>
        <w:pStyle w:val="7"/>
        <w:spacing w:line="560" w:lineRule="exact"/>
        <w:rPr>
          <w:rFonts w:ascii="Times New Roman" w:eastAsia="仿宋_GB2312" w:cs="Times New Roman"/>
        </w:rPr>
      </w:pPr>
      <w:r>
        <w:rPr>
          <w:rFonts w:ascii="Times New Roman" w:eastAsia="仿宋_GB2312" w:cs="Times New Roman"/>
        </w:rPr>
        <w:t>附件2：</w:t>
      </w:r>
    </w:p>
    <w:p w14:paraId="01B55D02">
      <w:pPr>
        <w:jc w:val="center"/>
      </w:pPr>
      <w:r>
        <w:pict>
          <v:shape id="Text Box 199" o:spid="_x0000_s1114" o:spt="202" type="#_x0000_t202" style="position:absolute;left:0pt;margin-left:-17.25pt;margin-top:228.7pt;height:179.65pt;width:45pt;z-index:251664384;mso-width-relative:page;mso-height-relative:page;" stroked="f" coordsize="21600,21600" o:gfxdata="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tqFR7aAAAACgEAAA8AAAAA&#10;AAAAAQAgAAAAIgAAAGRycy9kb3ducmV2LnhtbFBLAQIUABQAAAAIAIdO4kBQYImJoAEAADkDAAAO&#10;AAAAAAAAAAEAIAAAACkBAABkcnMvZTJvRG9jLnhtbFBLBQYAAAAABgAGAFkBAAA7BQAAAAA=&#10;">
            <v:path/>
            <v:fill focussize="0,0"/>
            <v:stroke on="f" joinstyle="miter"/>
            <v:imagedata o:title=""/>
            <o:lock v:ext="edit"/>
            <v:textbox style="layout-flow:vertical-ideographic;">
              <w:txbxContent>
                <w:p w14:paraId="746337D2">
                  <w:pPr>
                    <w:ind w:firstLine="148" w:firstLineChars="49"/>
                    <w:rPr>
                      <w:rFonts w:ascii="楷体_GB2312" w:eastAsia="楷体_GB2312"/>
                      <w:b/>
                      <w:bCs/>
                      <w:sz w:val="30"/>
                      <w:szCs w:val="30"/>
                    </w:rPr>
                  </w:pPr>
                  <w:r>
                    <w:rPr>
                      <w:rFonts w:ascii="楷体_GB2312" w:eastAsia="楷体_GB2312" w:cs="楷体_GB2312"/>
                      <w:b/>
                      <w:bCs/>
                      <w:sz w:val="30"/>
                      <w:szCs w:val="30"/>
                    </w:rPr>
                    <w:t xml:space="preserve">     </w:t>
                  </w:r>
                  <w:r>
                    <w:rPr>
                      <w:rFonts w:hint="eastAsia" w:ascii="楷体_GB2312" w:eastAsia="楷体_GB2312" w:cs="楷体_GB2312"/>
                      <w:b/>
                      <w:bCs/>
                      <w:sz w:val="30"/>
                      <w:szCs w:val="30"/>
                    </w:rPr>
                    <w:t>粘</w:t>
                  </w:r>
                  <w:r>
                    <w:rPr>
                      <w:rFonts w:ascii="楷体_GB2312" w:eastAsia="楷体_GB2312" w:cs="楷体_GB2312"/>
                      <w:b/>
                      <w:bCs/>
                      <w:sz w:val="30"/>
                      <w:szCs w:val="30"/>
                    </w:rPr>
                    <w:t xml:space="preserve"> </w:t>
                  </w:r>
                  <w:r>
                    <w:rPr>
                      <w:rFonts w:hint="eastAsia" w:ascii="楷体_GB2312" w:eastAsia="楷体_GB2312" w:cs="楷体_GB2312"/>
                      <w:b/>
                      <w:bCs/>
                      <w:sz w:val="30"/>
                      <w:szCs w:val="30"/>
                    </w:rPr>
                    <w:t>贴</w:t>
                  </w:r>
                  <w:r>
                    <w:rPr>
                      <w:rFonts w:ascii="楷体_GB2312" w:eastAsia="楷体_GB2312" w:cs="楷体_GB2312"/>
                      <w:b/>
                      <w:bCs/>
                      <w:sz w:val="30"/>
                      <w:szCs w:val="30"/>
                    </w:rPr>
                    <w:t xml:space="preserve"> </w:t>
                  </w:r>
                  <w:r>
                    <w:rPr>
                      <w:rFonts w:hint="eastAsia" w:ascii="楷体_GB2312" w:eastAsia="楷体_GB2312" w:cs="楷体_GB2312"/>
                      <w:b/>
                      <w:bCs/>
                      <w:sz w:val="30"/>
                      <w:szCs w:val="30"/>
                    </w:rPr>
                    <w:t>线</w:t>
                  </w:r>
                </w:p>
              </w:txbxContent>
            </v:textbox>
            <w10:anchorlock/>
          </v:shape>
        </w:pict>
      </w:r>
      <w:r>
        <w:pict>
          <v:shape id="Text Box 198" o:spid="_x0000_s1113" o:spt="202" type="#_x0000_t202" style="position:absolute;left:0pt;margin-left:299.2pt;margin-top:416.6pt;height:39pt;width:144pt;z-index:251663360;mso-width-relative:page;mso-height-relative:page;" stroked="f" coordsize="21600,21600" o:gfxdata="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">
            <v:path/>
            <v:fill focussize="0,0"/>
            <v:stroke on="f" joinstyle="miter"/>
            <v:imagedata o:title=""/>
            <o:lock v:ext="edit"/>
            <v:textbox>
              <w:txbxContent>
                <w:p w14:paraId="2BD3EC42">
                  <w:pPr>
                    <w:rPr>
                      <w:rFonts w:ascii="楷体_GB2312" w:eastAsia="楷体_GB2312"/>
                      <w:b/>
                      <w:bCs/>
                      <w:sz w:val="30"/>
                      <w:szCs w:val="30"/>
                    </w:rPr>
                  </w:pPr>
                  <w:r>
                    <w:rPr>
                      <w:rFonts w:hint="eastAsia" w:ascii="楷体_GB2312" w:eastAsia="楷体_GB2312" w:cs="楷体_GB2312"/>
                      <w:b/>
                      <w:bCs/>
                      <w:sz w:val="30"/>
                      <w:szCs w:val="30"/>
                    </w:rPr>
                    <w:t>下界限高程</w:t>
                  </w:r>
                </w:p>
              </w:txbxContent>
            </v:textbox>
            <w10:anchorlock/>
          </v:shape>
        </w:pict>
      </w:r>
      <w:r>
        <w:rPr>
          <w:rFonts w:eastAsia="黑体"/>
          <w:sz w:val="36"/>
          <w:szCs w:val="36"/>
        </w:rPr>
        <w:t>出让宗地竖向界限</w:t>
      </w:r>
      <w:r>
        <w:fldChar w:fldCharType="begin" w:fldLock="1"/>
      </w:r>
      <w:r>
        <w:instrText xml:space="preserve">ref  SHAPE  \* MERGEFORMAT </w:instrText>
      </w:r>
      <w:r>
        <w:fldChar w:fldCharType="separate"/>
      </w:r>
      <w:r>
        <w:rPr>
          <w:rFonts w:eastAsia="黑体"/>
          <w:sz w:val="36"/>
          <w:szCs w:val="36"/>
        </w:rPr>
        <w:drawing>
          <wp:inline distT="0" distB="0" distL="0" distR="0">
            <wp:extent cx="5676900" cy="6038850"/>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8"/>
                    <a:srcRect t="-99435" b="99435"/>
                    <a:stretch>
                      <a:fillRect/>
                    </a:stretch>
                  </pic:blipFill>
                  <pic:spPr>
                    <a:xfrm>
                      <a:off x="0" y="0"/>
                      <a:ext cx="5676900" cy="6038850"/>
                    </a:xfrm>
                    <a:prstGeom prst="rect">
                      <a:avLst/>
                    </a:prstGeom>
                    <a:noFill/>
                    <a:ln w="9525">
                      <a:noFill/>
                      <a:miter lim="800000"/>
                      <a:headEnd/>
                      <a:tailEnd/>
                    </a:ln>
                  </pic:spPr>
                </pic:pic>
              </a:graphicData>
            </a:graphic>
          </wp:inline>
        </w:drawing>
      </w:r>
      <w:r>
        <w:rPr>
          <w:rFonts w:eastAsia="黑体"/>
          <w:sz w:val="36"/>
          <w:szCs w:val="36"/>
        </w:rPr>
        <w:fldChar w:fldCharType="end"/>
      </w:r>
    </w:p>
    <w:p w14:paraId="5987BC0D">
      <w:pPr>
        <w:jc w:val="center"/>
      </w:pPr>
    </w:p>
    <w:p w14:paraId="36C745DA">
      <w:pPr>
        <w:jc w:val="center"/>
        <w:rPr>
          <w:rFonts w:eastAsia="楷体_GB2312"/>
          <w:b/>
          <w:bCs/>
          <w:sz w:val="30"/>
          <w:szCs w:val="30"/>
          <w:u w:val="single"/>
        </w:rPr>
      </w:pPr>
      <w:r>
        <w:rPr>
          <w:rFonts w:eastAsia="楷体_GB2312"/>
          <w:b/>
          <w:bCs/>
          <w:sz w:val="30"/>
          <w:szCs w:val="30"/>
        </w:rPr>
        <w:t>采用的高程系：</w:t>
      </w:r>
      <w:r>
        <w:rPr>
          <w:rFonts w:eastAsia="楷体_GB2312"/>
          <w:b/>
          <w:bCs/>
          <w:sz w:val="30"/>
          <w:szCs w:val="30"/>
          <w:u w:val="single"/>
        </w:rPr>
        <w:t xml:space="preserve">              </w:t>
      </w:r>
    </w:p>
    <w:p w14:paraId="6B5C692A">
      <w:pPr>
        <w:pStyle w:val="7"/>
        <w:spacing w:line="560" w:lineRule="exact"/>
        <w:ind w:firstLine="3520" w:firstLineChars="1100"/>
        <w:rPr>
          <w:rFonts w:ascii="Times New Roman" w:cs="Times New Roman"/>
          <w:sz w:val="30"/>
          <w:szCs w:val="30"/>
          <w:u w:val="single"/>
        </w:rPr>
      </w:pPr>
      <w:r>
        <w:rPr>
          <w:rFonts w:ascii="Times New Roman" w:cs="Times New Roman"/>
        </w:rPr>
        <w:pict>
          <v:line id="直线 130" o:spid="_x0000_s1115" o:spt="20" style="position:absolute;left:0pt;margin-left:-14.5pt;margin-top:-340pt;height:141.75pt;width:0.05pt;z-index:251665408;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o8efrtoAAAANAQAADwAAAAAAAAABACAA&#10;AAAiAAAAZHJzL2Rvd25yZXYueG1sUEsBAhQAFAAAAAgAh07iQNYoSmLSAQAAkwMAAA4AAAAAAAAA&#10;AQAgAAAAKQEAAGRycy9lMm9Eb2MueG1sUEsFBgAAAAAGAAYAWQEAAG0FAAAAAA==&#10;">
            <v:path arrowok="t"/>
            <v:fill focussize="0,0"/>
            <v:stroke dashstyle="longDash"/>
            <v:imagedata o:title=""/>
            <o:lock v:ext="edit"/>
            <w10:anchorlock/>
          </v:line>
        </w:pict>
      </w:r>
      <w:r>
        <w:rPr>
          <w:rFonts w:ascii="Times New Roman" w:eastAsia="仿宋_GB2312" w:cs="Times New Roman"/>
        </w:rPr>
        <w:t>比例尺：1</w:t>
      </w:r>
      <w:r>
        <w:rPr>
          <w:rFonts w:ascii="Times New Roman" w:cs="Times New Roman"/>
        </w:rPr>
        <w:t xml:space="preserve">： </w:t>
      </w:r>
      <w:r>
        <w:rPr>
          <w:rFonts w:ascii="Times New Roman" w:cs="Times New Roman"/>
          <w:u w:val="single"/>
        </w:rPr>
        <w:t xml:space="preserve">            </w:t>
      </w:r>
      <w:r>
        <w:rPr>
          <w:rFonts w:ascii="Times New Roman" w:eastAsia="仿宋_GB2312" w:cs="Times New Roman"/>
        </w:rPr>
        <w:pict>
          <v:line id="Line 200" o:spid="_x0000_s1078" o:spt="20" style="position:absolute;left:0pt;margin-left:-14.5pt;margin-top:-340pt;height:141.75pt;width:0.05pt;z-index:251662336;mso-width-relative:page;mso-height-relative:page;" coordsize="21600,21600" o:gfxdata="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PHn67aAAAADQEAAA8AAAAAAAAAAQAgAAAAIgAAAGRycy9kb3du&#10;cmV2LnhtbFBLAQIUABQAAAAIAIdO4kBgKJLMxAEAAJEDAAAOAAAAAAAAAAEAIAAAACkBAABkcnMv&#10;ZTJvRG9jLnhtbFBLBQYAAAAABgAGAFkBAABfBQAAAAA=&#10;">
            <v:path arrowok="t"/>
            <v:fill focussize="0,0"/>
            <v:stroke dashstyle="longDash"/>
            <v:imagedata o:title=""/>
            <o:lock v:ext="edit"/>
            <w10:anchorlock/>
          </v:line>
        </w:pict>
      </w:r>
    </w:p>
    <w:p w14:paraId="2382EC03">
      <w:pPr>
        <w:pStyle w:val="7"/>
        <w:spacing w:line="560" w:lineRule="exact"/>
        <w:rPr>
          <w:rFonts w:ascii="Times New Roman" w:eastAsia="仿宋_GB2312" w:cs="Times New Roman"/>
        </w:rPr>
      </w:pPr>
    </w:p>
    <w:p w14:paraId="073DA4BC">
      <w:pPr>
        <w:pStyle w:val="7"/>
        <w:spacing w:line="560" w:lineRule="exact"/>
        <w:rPr>
          <w:rFonts w:ascii="Times New Roman" w:eastAsia="仿宋_GB2312" w:cs="Times New Roman"/>
        </w:rPr>
      </w:pPr>
      <w:r>
        <w:rPr>
          <w:rFonts w:ascii="Times New Roman" w:eastAsia="仿宋_GB2312" w:cs="Times New Roman"/>
        </w:rPr>
        <w:t>附件3：</w:t>
      </w:r>
    </w:p>
    <w:p w14:paraId="5EBC495E">
      <w:pPr>
        <w:pStyle w:val="7"/>
        <w:spacing w:line="600" w:lineRule="exact"/>
        <w:ind w:firstLine="640" w:firstLineChars="200"/>
        <w:rPr>
          <w:rFonts w:ascii="Times New Roman" w:cs="Times New Roman"/>
          <w:spacing w:val="-20"/>
        </w:rPr>
      </w:pPr>
      <w:r>
        <w:rPr>
          <w:rFonts w:ascii="Times New Roman" w:cs="Times New Roman"/>
          <w:u w:val="single"/>
        </w:rPr>
        <w:t xml:space="preserve">       </w:t>
      </w:r>
      <w:r>
        <w:rPr>
          <w:rFonts w:ascii="Times New Roman" w:eastAsia="黑体" w:cs="Times New Roman"/>
          <w:spacing w:val="-20"/>
          <w:sz w:val="36"/>
          <w:szCs w:val="36"/>
        </w:rPr>
        <w:t>市(县)政府规划管理部门确定的出让宗地规划条件</w:t>
      </w:r>
    </w:p>
    <w:p w14:paraId="3F2A48A0">
      <w:pPr>
        <w:pStyle w:val="7"/>
        <w:spacing w:line="560" w:lineRule="exact"/>
        <w:rPr>
          <w:rFonts w:ascii="Times New Roman" w:eastAsia="仿宋_GB2312" w:cs="Times New Roman"/>
        </w:rPr>
      </w:pPr>
    </w:p>
    <w:p w14:paraId="33E3E441">
      <w:pPr>
        <w:pStyle w:val="7"/>
        <w:spacing w:line="560" w:lineRule="exact"/>
        <w:rPr>
          <w:rFonts w:ascii="Times New Roman" w:eastAsia="仿宋_GB2312" w:cs="Times New Roman"/>
        </w:rPr>
      </w:pPr>
    </w:p>
    <w:p w14:paraId="3E15549F">
      <w:pPr>
        <w:spacing w:line="560" w:lineRule="exact"/>
        <w:ind w:firstLine="640" w:firstLineChars="200"/>
        <w:jc w:val="right"/>
        <w:rPr>
          <w:rFonts w:eastAsia="仿宋_GB2312"/>
          <w:sz w:val="32"/>
          <w:szCs w:val="32"/>
        </w:rPr>
      </w:pPr>
    </w:p>
    <w:sectPr>
      <w:headerReference r:id="rId3" w:type="default"/>
      <w:footerReference r:id="rId5" w:type="default"/>
      <w:headerReference r:id="rId4" w:type="even"/>
      <w:footerReference r:id="rId6" w:type="even"/>
      <w:pgSz w:w="11906" w:h="16838"/>
      <w:pgMar w:top="2098" w:right="1361" w:bottom="1814"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黑体_GBK">
    <w:altName w:val="宋体-方正超大字符集"/>
    <w:panose1 w:val="00000000000000000000"/>
    <w:charset w:val="86"/>
    <w:family w:val="script"/>
    <w:pitch w:val="default"/>
    <w:sig w:usb0="00000000" w:usb1="00000000" w:usb2="00000010" w:usb3="00000000" w:csb0="00040000" w:csb1="00000000"/>
  </w:font>
  <w:font w:name="方正楷体_GBK">
    <w:altName w:val="宋体"/>
    <w:panose1 w:val="00000000000000000000"/>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FE55B">
    <w:pPr>
      <w:pStyle w:val="10"/>
      <w:framePr w:wrap="around" w:vAnchor="text" w:hAnchor="margin" w:xAlign="center" w:y="1"/>
      <w:rPr>
        <w:rStyle w:val="19"/>
        <w:sz w:val="24"/>
        <w:szCs w:val="24"/>
      </w:rPr>
    </w:pPr>
    <w:r>
      <w:rPr>
        <w:rStyle w:val="19"/>
        <w:sz w:val="24"/>
        <w:szCs w:val="24"/>
      </w:rPr>
      <w:fldChar w:fldCharType="begin"/>
    </w:r>
    <w:r>
      <w:rPr>
        <w:rStyle w:val="19"/>
        <w:sz w:val="24"/>
        <w:szCs w:val="24"/>
      </w:rPr>
      <w:instrText xml:space="preserve">PAGE  </w:instrText>
    </w:r>
    <w:r>
      <w:rPr>
        <w:rStyle w:val="19"/>
        <w:sz w:val="24"/>
        <w:szCs w:val="24"/>
      </w:rPr>
      <w:fldChar w:fldCharType="separate"/>
    </w:r>
    <w:r>
      <w:rPr>
        <w:rStyle w:val="19"/>
        <w:sz w:val="24"/>
        <w:szCs w:val="24"/>
      </w:rPr>
      <w:t>27</w:t>
    </w:r>
    <w:r>
      <w:rPr>
        <w:rStyle w:val="19"/>
        <w:sz w:val="24"/>
        <w:szCs w:val="24"/>
      </w:rPr>
      <w:fldChar w:fldCharType="end"/>
    </w:r>
  </w:p>
  <w:p w14:paraId="33FC77CD">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1D1BC2">
    <w:pPr>
      <w:pStyle w:val="10"/>
      <w:framePr w:wrap="around" w:vAnchor="text" w:hAnchor="margin" w:xAlign="center" w:y="1"/>
      <w:rPr>
        <w:rStyle w:val="19"/>
        <w:sz w:val="24"/>
        <w:szCs w:val="24"/>
      </w:rPr>
    </w:pPr>
    <w:r>
      <w:rPr>
        <w:rStyle w:val="19"/>
        <w:sz w:val="24"/>
        <w:szCs w:val="24"/>
      </w:rPr>
      <w:fldChar w:fldCharType="begin"/>
    </w:r>
    <w:r>
      <w:rPr>
        <w:rStyle w:val="19"/>
        <w:sz w:val="24"/>
        <w:szCs w:val="24"/>
      </w:rPr>
      <w:instrText xml:space="preserve">PAGE  </w:instrText>
    </w:r>
    <w:r>
      <w:rPr>
        <w:rStyle w:val="19"/>
        <w:sz w:val="24"/>
        <w:szCs w:val="24"/>
      </w:rPr>
      <w:fldChar w:fldCharType="separate"/>
    </w:r>
    <w:r>
      <w:rPr>
        <w:rStyle w:val="19"/>
        <w:sz w:val="24"/>
        <w:szCs w:val="24"/>
      </w:rPr>
      <w:t>28</w:t>
    </w:r>
    <w:r>
      <w:rPr>
        <w:rStyle w:val="19"/>
        <w:sz w:val="24"/>
        <w:szCs w:val="24"/>
      </w:rPr>
      <w:fldChar w:fldCharType="end"/>
    </w:r>
  </w:p>
  <w:p w14:paraId="7669F94A">
    <w:pPr>
      <w:pStyle w:val="10"/>
      <w:ind w:right="360"/>
    </w:pPr>
    <w:r>
      <w:pict>
        <v:shape id="Text Box 1" o:spid="_x0000_s2049" o:spt="202" type="#_x0000_t202" style="position:absolute;left:0pt;margin-top:0pt;height:10.35pt;width:9.05pt;mso-position-horizontal:outside;mso-position-horizontal-relative:margin;mso-wrap-distance-bottom:0pt;mso-wrap-distance-left:0pt;mso-wrap-distance-right:0pt;mso-wrap-distance-top:0pt;mso-wrap-style:none;z-index:251662336;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EPlfknQAAAAAwEAAA8AAAAAAAAAAQAg&#10;AAAAIgAAAGRycy9kb3ducmV2LnhtbFBLAQIUABQAAAAIAIdO4kA9lNsapAEAAEkDAAAOAAAAAAAA&#10;AAEAIAAAAB8BAABkcnMvZTJvRG9jLnhtbFBLBQYAAAAABgAGAFkBAAA1BQAAAAA=&#10;">
          <v:path/>
          <v:fill on="f" focussize="0,0"/>
          <v:stroke on="f" joinstyle="miter"/>
          <v:imagedata o:title=""/>
          <o:lock v:ext="edit"/>
          <v:textbox inset="0mm,0mm,0mm,0mm" style="mso-fit-shape-to-text:t;">
            <w:txbxContent>
              <w:p w14:paraId="0F832B8E">
                <w:pPr>
                  <w:pStyle w:val="10"/>
                  <w:rPr>
                    <w:rStyle w:val="19"/>
                  </w:rPr>
                </w:pPr>
              </w:p>
            </w:txbxContent>
          </v:textbox>
          <w10:wrap type="square"/>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7CB481">
    <w:pPr>
      <w:pStyle w:val="11"/>
      <w:jc w:val="right"/>
      <w:rPr>
        <w:i/>
      </w:rPr>
    </w:pPr>
    <w:r>
      <w:rPr>
        <w:rFonts w:hint="eastAsia"/>
        <w:i/>
      </w:rPr>
      <w:t>乐山市土地矿权交易中心挂牌文件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79E9FF">
    <w:pPr>
      <w:pStyle w:val="11"/>
      <w:ind w:right="360"/>
      <w:jc w:val="both"/>
      <w:rPr>
        <w:i/>
      </w:rPr>
    </w:pPr>
    <w:r>
      <w:rPr>
        <w:rFonts w:hint="eastAsia"/>
        <w:i/>
      </w:rPr>
      <w:t>乐山市土地矿权交易中心挂牌文件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318D11"/>
    <w:multiLevelType w:val="singleLevel"/>
    <w:tmpl w:val="A8318D11"/>
    <w:lvl w:ilvl="0" w:tentative="0">
      <w:start w:val="2"/>
      <w:numFmt w:val="decimal"/>
      <w:suff w:val="nothing"/>
      <w:lvlText w:val="%1．"/>
      <w:lvlJc w:val="left"/>
    </w:lvl>
  </w:abstractNum>
  <w:abstractNum w:abstractNumId="1">
    <w:nsid w:val="00000009"/>
    <w:multiLevelType w:val="multilevel"/>
    <w:tmpl w:val="00000009"/>
    <w:lvl w:ilvl="0" w:tentative="0">
      <w:start w:val="1"/>
      <w:numFmt w:val="decimal"/>
      <w:pStyle w:val="3"/>
      <w:lvlText w:val="%1."/>
      <w:lvlJc w:val="left"/>
      <w:pPr>
        <w:tabs>
          <w:tab w:val="left" w:pos="1058"/>
        </w:tabs>
        <w:ind w:left="1058" w:hanging="420"/>
      </w:pPr>
      <w:rPr>
        <w:rFonts w:cs="Times New Roman"/>
      </w:rPr>
    </w:lvl>
    <w:lvl w:ilvl="1" w:tentative="0">
      <w:start w:val="1"/>
      <w:numFmt w:val="lowerLetter"/>
      <w:lvlText w:val="%2)"/>
      <w:lvlJc w:val="left"/>
      <w:pPr>
        <w:tabs>
          <w:tab w:val="left" w:pos="1478"/>
        </w:tabs>
        <w:ind w:left="1478" w:hanging="420"/>
      </w:pPr>
      <w:rPr>
        <w:rFonts w:cs="Times New Roman"/>
      </w:rPr>
    </w:lvl>
    <w:lvl w:ilvl="2" w:tentative="0">
      <w:start w:val="1"/>
      <w:numFmt w:val="lowerRoman"/>
      <w:lvlText w:val="%3."/>
      <w:lvlJc w:val="right"/>
      <w:pPr>
        <w:tabs>
          <w:tab w:val="left" w:pos="1898"/>
        </w:tabs>
        <w:ind w:left="1898" w:hanging="420"/>
      </w:pPr>
      <w:rPr>
        <w:rFonts w:cs="Times New Roman"/>
      </w:rPr>
    </w:lvl>
    <w:lvl w:ilvl="3" w:tentative="0">
      <w:start w:val="1"/>
      <w:numFmt w:val="decimal"/>
      <w:lvlText w:val="%4."/>
      <w:lvlJc w:val="left"/>
      <w:pPr>
        <w:tabs>
          <w:tab w:val="left" w:pos="2318"/>
        </w:tabs>
        <w:ind w:left="2318" w:hanging="420"/>
      </w:pPr>
      <w:rPr>
        <w:rFonts w:cs="Times New Roman"/>
      </w:rPr>
    </w:lvl>
    <w:lvl w:ilvl="4" w:tentative="0">
      <w:start w:val="1"/>
      <w:numFmt w:val="lowerLetter"/>
      <w:lvlText w:val="%5)"/>
      <w:lvlJc w:val="left"/>
      <w:pPr>
        <w:tabs>
          <w:tab w:val="left" w:pos="2738"/>
        </w:tabs>
        <w:ind w:left="2738" w:hanging="420"/>
      </w:pPr>
      <w:rPr>
        <w:rFonts w:cs="Times New Roman"/>
      </w:rPr>
    </w:lvl>
    <w:lvl w:ilvl="5" w:tentative="0">
      <w:start w:val="1"/>
      <w:numFmt w:val="lowerRoman"/>
      <w:lvlText w:val="%6."/>
      <w:lvlJc w:val="right"/>
      <w:pPr>
        <w:tabs>
          <w:tab w:val="left" w:pos="3158"/>
        </w:tabs>
        <w:ind w:left="3158" w:hanging="420"/>
      </w:pPr>
      <w:rPr>
        <w:rFonts w:cs="Times New Roman"/>
      </w:rPr>
    </w:lvl>
    <w:lvl w:ilvl="6" w:tentative="0">
      <w:start w:val="1"/>
      <w:numFmt w:val="decimal"/>
      <w:lvlText w:val="%7."/>
      <w:lvlJc w:val="left"/>
      <w:pPr>
        <w:tabs>
          <w:tab w:val="left" w:pos="3578"/>
        </w:tabs>
        <w:ind w:left="3578" w:hanging="420"/>
      </w:pPr>
      <w:rPr>
        <w:rFonts w:cs="Times New Roman"/>
      </w:rPr>
    </w:lvl>
    <w:lvl w:ilvl="7" w:tentative="0">
      <w:start w:val="1"/>
      <w:numFmt w:val="lowerLetter"/>
      <w:lvlText w:val="%8)"/>
      <w:lvlJc w:val="left"/>
      <w:pPr>
        <w:tabs>
          <w:tab w:val="left" w:pos="3998"/>
        </w:tabs>
        <w:ind w:left="3998" w:hanging="420"/>
      </w:pPr>
      <w:rPr>
        <w:rFonts w:cs="Times New Roman"/>
      </w:rPr>
    </w:lvl>
    <w:lvl w:ilvl="8" w:tentative="0">
      <w:start w:val="1"/>
      <w:numFmt w:val="lowerRoman"/>
      <w:lvlText w:val="%9."/>
      <w:lvlJc w:val="right"/>
      <w:pPr>
        <w:tabs>
          <w:tab w:val="left" w:pos="4418"/>
        </w:tabs>
        <w:ind w:left="4418" w:hanging="420"/>
      </w:pPr>
      <w:rPr>
        <w:rFonts w:cs="Times New Roman"/>
      </w:rPr>
    </w:lvl>
  </w:abstractNum>
  <w:abstractNum w:abstractNumId="2">
    <w:nsid w:val="61B11C4B"/>
    <w:multiLevelType w:val="multilevel"/>
    <w:tmpl w:val="61B11C4B"/>
    <w:lvl w:ilvl="0" w:tentative="0">
      <w:start w:val="5"/>
      <w:numFmt w:val="japaneseCounting"/>
      <w:lvlText w:val="第%1条"/>
      <w:lvlJc w:val="left"/>
      <w:pPr>
        <w:tabs>
          <w:tab w:val="left" w:pos="1948"/>
        </w:tabs>
        <w:ind w:left="1948" w:hanging="1305"/>
      </w:pPr>
      <w:rPr>
        <w:rFonts w:hint="default" w:ascii="方正楷体_GBK" w:eastAsia="方正楷体_GBK" w:cs="Times New Roman"/>
        <w:b/>
      </w:rPr>
    </w:lvl>
    <w:lvl w:ilvl="1" w:tentative="0">
      <w:start w:val="1"/>
      <w:numFmt w:val="lowerLetter"/>
      <w:lvlText w:val="%2)"/>
      <w:lvlJc w:val="left"/>
      <w:pPr>
        <w:tabs>
          <w:tab w:val="left" w:pos="1483"/>
        </w:tabs>
        <w:ind w:left="1483" w:hanging="420"/>
      </w:pPr>
      <w:rPr>
        <w:rFonts w:cs="Times New Roman"/>
      </w:rPr>
    </w:lvl>
    <w:lvl w:ilvl="2" w:tentative="0">
      <w:start w:val="1"/>
      <w:numFmt w:val="lowerRoman"/>
      <w:lvlText w:val="%3."/>
      <w:lvlJc w:val="right"/>
      <w:pPr>
        <w:tabs>
          <w:tab w:val="left" w:pos="1903"/>
        </w:tabs>
        <w:ind w:left="1903" w:hanging="420"/>
      </w:pPr>
      <w:rPr>
        <w:rFonts w:cs="Times New Roman"/>
      </w:rPr>
    </w:lvl>
    <w:lvl w:ilvl="3" w:tentative="0">
      <w:start w:val="1"/>
      <w:numFmt w:val="decimal"/>
      <w:lvlText w:val="%4."/>
      <w:lvlJc w:val="left"/>
      <w:pPr>
        <w:tabs>
          <w:tab w:val="left" w:pos="2323"/>
        </w:tabs>
        <w:ind w:left="2323" w:hanging="420"/>
      </w:pPr>
      <w:rPr>
        <w:rFonts w:cs="Times New Roman"/>
      </w:rPr>
    </w:lvl>
    <w:lvl w:ilvl="4" w:tentative="0">
      <w:start w:val="1"/>
      <w:numFmt w:val="lowerLetter"/>
      <w:lvlText w:val="%5)"/>
      <w:lvlJc w:val="left"/>
      <w:pPr>
        <w:tabs>
          <w:tab w:val="left" w:pos="2743"/>
        </w:tabs>
        <w:ind w:left="2743" w:hanging="420"/>
      </w:pPr>
      <w:rPr>
        <w:rFonts w:cs="Times New Roman"/>
      </w:rPr>
    </w:lvl>
    <w:lvl w:ilvl="5" w:tentative="0">
      <w:start w:val="1"/>
      <w:numFmt w:val="lowerRoman"/>
      <w:lvlText w:val="%6."/>
      <w:lvlJc w:val="right"/>
      <w:pPr>
        <w:tabs>
          <w:tab w:val="left" w:pos="3163"/>
        </w:tabs>
        <w:ind w:left="3163" w:hanging="420"/>
      </w:pPr>
      <w:rPr>
        <w:rFonts w:cs="Times New Roman"/>
      </w:rPr>
    </w:lvl>
    <w:lvl w:ilvl="6" w:tentative="0">
      <w:start w:val="1"/>
      <w:numFmt w:val="decimal"/>
      <w:lvlText w:val="%7."/>
      <w:lvlJc w:val="left"/>
      <w:pPr>
        <w:tabs>
          <w:tab w:val="left" w:pos="3583"/>
        </w:tabs>
        <w:ind w:left="3583" w:hanging="420"/>
      </w:pPr>
      <w:rPr>
        <w:rFonts w:cs="Times New Roman"/>
      </w:rPr>
    </w:lvl>
    <w:lvl w:ilvl="7" w:tentative="0">
      <w:start w:val="1"/>
      <w:numFmt w:val="lowerLetter"/>
      <w:lvlText w:val="%8)"/>
      <w:lvlJc w:val="left"/>
      <w:pPr>
        <w:tabs>
          <w:tab w:val="left" w:pos="4003"/>
        </w:tabs>
        <w:ind w:left="4003" w:hanging="420"/>
      </w:pPr>
      <w:rPr>
        <w:rFonts w:cs="Times New Roman"/>
      </w:rPr>
    </w:lvl>
    <w:lvl w:ilvl="8" w:tentative="0">
      <w:start w:val="1"/>
      <w:numFmt w:val="lowerRoman"/>
      <w:lvlText w:val="%9."/>
      <w:lvlJc w:val="right"/>
      <w:pPr>
        <w:tabs>
          <w:tab w:val="left" w:pos="4423"/>
        </w:tabs>
        <w:ind w:left="4423" w:hanging="420"/>
      </w:pPr>
      <w:rPr>
        <w:rFonts w:cs="Times New Roman"/>
      </w:rPr>
    </w:lvl>
  </w:abstractNum>
  <w:abstractNum w:abstractNumId="3">
    <w:nsid w:val="69B8D925"/>
    <w:multiLevelType w:val="singleLevel"/>
    <w:tmpl w:val="69B8D925"/>
    <w:lvl w:ilvl="0" w:tentative="0">
      <w:start w:val="15"/>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evenAndOddHeaders w:val="1"/>
  <w:drawingGridHorizontalSpacing w:val="1"/>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VlZjVjOWVkY2UwZWYyNTZhNTlmZGI4MDNmNWZhZTYifQ=="/>
  </w:docVars>
  <w:rsids>
    <w:rsidRoot w:val="00172A27"/>
    <w:rsid w:val="000030D3"/>
    <w:rsid w:val="00006F4A"/>
    <w:rsid w:val="0001041D"/>
    <w:rsid w:val="00017F24"/>
    <w:rsid w:val="00020FBF"/>
    <w:rsid w:val="00030B81"/>
    <w:rsid w:val="000321D6"/>
    <w:rsid w:val="00033083"/>
    <w:rsid w:val="00035849"/>
    <w:rsid w:val="00041E25"/>
    <w:rsid w:val="000428E6"/>
    <w:rsid w:val="000441EA"/>
    <w:rsid w:val="00046540"/>
    <w:rsid w:val="00052610"/>
    <w:rsid w:val="00066E94"/>
    <w:rsid w:val="00072520"/>
    <w:rsid w:val="00077778"/>
    <w:rsid w:val="00080F95"/>
    <w:rsid w:val="0008357E"/>
    <w:rsid w:val="0008363F"/>
    <w:rsid w:val="00083E0C"/>
    <w:rsid w:val="00087161"/>
    <w:rsid w:val="000879CC"/>
    <w:rsid w:val="00092BB2"/>
    <w:rsid w:val="00094AB0"/>
    <w:rsid w:val="000A3B51"/>
    <w:rsid w:val="000A42BA"/>
    <w:rsid w:val="000B3065"/>
    <w:rsid w:val="000B44E1"/>
    <w:rsid w:val="000B4EA1"/>
    <w:rsid w:val="000B7696"/>
    <w:rsid w:val="000C299D"/>
    <w:rsid w:val="000C665C"/>
    <w:rsid w:val="000D21F2"/>
    <w:rsid w:val="000D2E74"/>
    <w:rsid w:val="000D4C2D"/>
    <w:rsid w:val="000D6761"/>
    <w:rsid w:val="000D7640"/>
    <w:rsid w:val="000E1029"/>
    <w:rsid w:val="000E14F0"/>
    <w:rsid w:val="000E22B5"/>
    <w:rsid w:val="000E3897"/>
    <w:rsid w:val="000E512B"/>
    <w:rsid w:val="000F5DCC"/>
    <w:rsid w:val="000F72E5"/>
    <w:rsid w:val="00102919"/>
    <w:rsid w:val="001100F1"/>
    <w:rsid w:val="00116081"/>
    <w:rsid w:val="00116AA4"/>
    <w:rsid w:val="00121215"/>
    <w:rsid w:val="0012250B"/>
    <w:rsid w:val="0012277E"/>
    <w:rsid w:val="00122A5E"/>
    <w:rsid w:val="00123075"/>
    <w:rsid w:val="0012312F"/>
    <w:rsid w:val="00127593"/>
    <w:rsid w:val="0012799F"/>
    <w:rsid w:val="00133344"/>
    <w:rsid w:val="00134BF7"/>
    <w:rsid w:val="0013532B"/>
    <w:rsid w:val="00135F11"/>
    <w:rsid w:val="00144CC3"/>
    <w:rsid w:val="00145B8A"/>
    <w:rsid w:val="00145DAF"/>
    <w:rsid w:val="00151915"/>
    <w:rsid w:val="00152C32"/>
    <w:rsid w:val="00164E99"/>
    <w:rsid w:val="00166DA7"/>
    <w:rsid w:val="00171660"/>
    <w:rsid w:val="00172A27"/>
    <w:rsid w:val="00175070"/>
    <w:rsid w:val="00186C6B"/>
    <w:rsid w:val="00190DA0"/>
    <w:rsid w:val="00190F36"/>
    <w:rsid w:val="00192914"/>
    <w:rsid w:val="00194352"/>
    <w:rsid w:val="00194D4D"/>
    <w:rsid w:val="00194E21"/>
    <w:rsid w:val="001A17D7"/>
    <w:rsid w:val="001A233E"/>
    <w:rsid w:val="001A3858"/>
    <w:rsid w:val="001A3FB8"/>
    <w:rsid w:val="001A4788"/>
    <w:rsid w:val="001A57C7"/>
    <w:rsid w:val="001A5CA1"/>
    <w:rsid w:val="001B0959"/>
    <w:rsid w:val="001C429B"/>
    <w:rsid w:val="001C48A7"/>
    <w:rsid w:val="001D0322"/>
    <w:rsid w:val="001D0B5E"/>
    <w:rsid w:val="001E10E9"/>
    <w:rsid w:val="001E7810"/>
    <w:rsid w:val="001F200D"/>
    <w:rsid w:val="001F4FF2"/>
    <w:rsid w:val="001F5044"/>
    <w:rsid w:val="00200691"/>
    <w:rsid w:val="002023C6"/>
    <w:rsid w:val="0020356E"/>
    <w:rsid w:val="00215225"/>
    <w:rsid w:val="00220C09"/>
    <w:rsid w:val="00224993"/>
    <w:rsid w:val="00224BE1"/>
    <w:rsid w:val="00230FC9"/>
    <w:rsid w:val="00236FF0"/>
    <w:rsid w:val="00241A81"/>
    <w:rsid w:val="00244AB0"/>
    <w:rsid w:val="00245BE4"/>
    <w:rsid w:val="00246149"/>
    <w:rsid w:val="002531D0"/>
    <w:rsid w:val="00253890"/>
    <w:rsid w:val="002571E3"/>
    <w:rsid w:val="00262AFB"/>
    <w:rsid w:val="00270F8F"/>
    <w:rsid w:val="0027272E"/>
    <w:rsid w:val="00272E9C"/>
    <w:rsid w:val="00284276"/>
    <w:rsid w:val="00287A0B"/>
    <w:rsid w:val="00291333"/>
    <w:rsid w:val="002A20CF"/>
    <w:rsid w:val="002B5C7D"/>
    <w:rsid w:val="002C234D"/>
    <w:rsid w:val="002C323E"/>
    <w:rsid w:val="002D0D01"/>
    <w:rsid w:val="002D19C4"/>
    <w:rsid w:val="002D2276"/>
    <w:rsid w:val="002D253D"/>
    <w:rsid w:val="002D77E7"/>
    <w:rsid w:val="002E5FFB"/>
    <w:rsid w:val="002E704B"/>
    <w:rsid w:val="002F100A"/>
    <w:rsid w:val="002F2A95"/>
    <w:rsid w:val="002F3658"/>
    <w:rsid w:val="002F7C52"/>
    <w:rsid w:val="003127EF"/>
    <w:rsid w:val="0031421E"/>
    <w:rsid w:val="00322CF0"/>
    <w:rsid w:val="00333660"/>
    <w:rsid w:val="00341026"/>
    <w:rsid w:val="003478F6"/>
    <w:rsid w:val="003510E7"/>
    <w:rsid w:val="00360D5A"/>
    <w:rsid w:val="00361F75"/>
    <w:rsid w:val="00362356"/>
    <w:rsid w:val="00362FE2"/>
    <w:rsid w:val="003631B0"/>
    <w:rsid w:val="0036567A"/>
    <w:rsid w:val="0036760F"/>
    <w:rsid w:val="0037310F"/>
    <w:rsid w:val="00375C04"/>
    <w:rsid w:val="003764A2"/>
    <w:rsid w:val="00377223"/>
    <w:rsid w:val="00383083"/>
    <w:rsid w:val="00383B79"/>
    <w:rsid w:val="003840A2"/>
    <w:rsid w:val="00391201"/>
    <w:rsid w:val="003A12A6"/>
    <w:rsid w:val="003A2C19"/>
    <w:rsid w:val="003A5885"/>
    <w:rsid w:val="003A7ED8"/>
    <w:rsid w:val="003B3B98"/>
    <w:rsid w:val="003B7C6A"/>
    <w:rsid w:val="003C2B6A"/>
    <w:rsid w:val="003D4D01"/>
    <w:rsid w:val="003D6901"/>
    <w:rsid w:val="003D7524"/>
    <w:rsid w:val="003E24C0"/>
    <w:rsid w:val="003E5491"/>
    <w:rsid w:val="003F1305"/>
    <w:rsid w:val="003F34F8"/>
    <w:rsid w:val="003F7DF3"/>
    <w:rsid w:val="003F7F34"/>
    <w:rsid w:val="0040326A"/>
    <w:rsid w:val="004059D3"/>
    <w:rsid w:val="00405BCD"/>
    <w:rsid w:val="00407535"/>
    <w:rsid w:val="0041686A"/>
    <w:rsid w:val="00421DBC"/>
    <w:rsid w:val="00422CDE"/>
    <w:rsid w:val="00422F88"/>
    <w:rsid w:val="0042527A"/>
    <w:rsid w:val="0043025E"/>
    <w:rsid w:val="00441133"/>
    <w:rsid w:val="0044698F"/>
    <w:rsid w:val="00450F53"/>
    <w:rsid w:val="00451EDC"/>
    <w:rsid w:val="00455711"/>
    <w:rsid w:val="004563E4"/>
    <w:rsid w:val="00463AA8"/>
    <w:rsid w:val="004650EC"/>
    <w:rsid w:val="00465970"/>
    <w:rsid w:val="00494782"/>
    <w:rsid w:val="0049578A"/>
    <w:rsid w:val="004A063E"/>
    <w:rsid w:val="004A0CB8"/>
    <w:rsid w:val="004A3090"/>
    <w:rsid w:val="004A6E59"/>
    <w:rsid w:val="004A7566"/>
    <w:rsid w:val="004B538A"/>
    <w:rsid w:val="004C2B6D"/>
    <w:rsid w:val="004C3BD2"/>
    <w:rsid w:val="004C7CA3"/>
    <w:rsid w:val="004D2B9E"/>
    <w:rsid w:val="004D3DA8"/>
    <w:rsid w:val="004D5C43"/>
    <w:rsid w:val="004E63D6"/>
    <w:rsid w:val="004F13F9"/>
    <w:rsid w:val="004F68CB"/>
    <w:rsid w:val="005004B0"/>
    <w:rsid w:val="0050287A"/>
    <w:rsid w:val="00503867"/>
    <w:rsid w:val="00506710"/>
    <w:rsid w:val="00511ABF"/>
    <w:rsid w:val="005143AD"/>
    <w:rsid w:val="00515C44"/>
    <w:rsid w:val="00520A48"/>
    <w:rsid w:val="0052117D"/>
    <w:rsid w:val="00522D9F"/>
    <w:rsid w:val="00523902"/>
    <w:rsid w:val="005246A4"/>
    <w:rsid w:val="00533287"/>
    <w:rsid w:val="0053356A"/>
    <w:rsid w:val="00550E60"/>
    <w:rsid w:val="005538DA"/>
    <w:rsid w:val="0055505F"/>
    <w:rsid w:val="0055581E"/>
    <w:rsid w:val="00561612"/>
    <w:rsid w:val="00566881"/>
    <w:rsid w:val="00567AD0"/>
    <w:rsid w:val="005734E1"/>
    <w:rsid w:val="00581AA6"/>
    <w:rsid w:val="0059121A"/>
    <w:rsid w:val="0059278A"/>
    <w:rsid w:val="005B6283"/>
    <w:rsid w:val="005D2426"/>
    <w:rsid w:val="005D6125"/>
    <w:rsid w:val="005D7859"/>
    <w:rsid w:val="005E2B79"/>
    <w:rsid w:val="005E30BB"/>
    <w:rsid w:val="005E43C1"/>
    <w:rsid w:val="005F01F9"/>
    <w:rsid w:val="005F028F"/>
    <w:rsid w:val="005F739F"/>
    <w:rsid w:val="0060301B"/>
    <w:rsid w:val="00604F37"/>
    <w:rsid w:val="00612411"/>
    <w:rsid w:val="00612790"/>
    <w:rsid w:val="006142B4"/>
    <w:rsid w:val="0062446E"/>
    <w:rsid w:val="006275F3"/>
    <w:rsid w:val="00627A42"/>
    <w:rsid w:val="006308EB"/>
    <w:rsid w:val="00634DA7"/>
    <w:rsid w:val="006422E2"/>
    <w:rsid w:val="00647818"/>
    <w:rsid w:val="006508BD"/>
    <w:rsid w:val="00653FBC"/>
    <w:rsid w:val="0066413B"/>
    <w:rsid w:val="006713E0"/>
    <w:rsid w:val="006745CD"/>
    <w:rsid w:val="0067628E"/>
    <w:rsid w:val="00680AAE"/>
    <w:rsid w:val="00682DC9"/>
    <w:rsid w:val="00692EE0"/>
    <w:rsid w:val="00693162"/>
    <w:rsid w:val="00693759"/>
    <w:rsid w:val="006A3C53"/>
    <w:rsid w:val="006B20D5"/>
    <w:rsid w:val="006B2768"/>
    <w:rsid w:val="006B376C"/>
    <w:rsid w:val="006B5420"/>
    <w:rsid w:val="006C0D84"/>
    <w:rsid w:val="006C1FC1"/>
    <w:rsid w:val="006C488C"/>
    <w:rsid w:val="006D290F"/>
    <w:rsid w:val="006E1C91"/>
    <w:rsid w:val="006E1EC7"/>
    <w:rsid w:val="006E4A32"/>
    <w:rsid w:val="006F3721"/>
    <w:rsid w:val="006F546F"/>
    <w:rsid w:val="0070085E"/>
    <w:rsid w:val="007119A6"/>
    <w:rsid w:val="00714C6D"/>
    <w:rsid w:val="007153B3"/>
    <w:rsid w:val="00717644"/>
    <w:rsid w:val="007226C8"/>
    <w:rsid w:val="0072276E"/>
    <w:rsid w:val="007231EC"/>
    <w:rsid w:val="00723CB4"/>
    <w:rsid w:val="00723ECC"/>
    <w:rsid w:val="00725D38"/>
    <w:rsid w:val="00726B8A"/>
    <w:rsid w:val="00740321"/>
    <w:rsid w:val="0074381F"/>
    <w:rsid w:val="00751DDE"/>
    <w:rsid w:val="007576A3"/>
    <w:rsid w:val="00757EB7"/>
    <w:rsid w:val="0076150D"/>
    <w:rsid w:val="00762C33"/>
    <w:rsid w:val="007640E7"/>
    <w:rsid w:val="0076532F"/>
    <w:rsid w:val="00774C73"/>
    <w:rsid w:val="00775180"/>
    <w:rsid w:val="00785905"/>
    <w:rsid w:val="00793D23"/>
    <w:rsid w:val="00794DF2"/>
    <w:rsid w:val="00796561"/>
    <w:rsid w:val="007A44D3"/>
    <w:rsid w:val="007A57A3"/>
    <w:rsid w:val="007B0D6D"/>
    <w:rsid w:val="007B20DC"/>
    <w:rsid w:val="007B3481"/>
    <w:rsid w:val="007B52BD"/>
    <w:rsid w:val="007B7C44"/>
    <w:rsid w:val="007C2C97"/>
    <w:rsid w:val="007C529C"/>
    <w:rsid w:val="007C6DF0"/>
    <w:rsid w:val="007D325D"/>
    <w:rsid w:val="007D5E31"/>
    <w:rsid w:val="007E0500"/>
    <w:rsid w:val="007E647A"/>
    <w:rsid w:val="007E660B"/>
    <w:rsid w:val="007F0DA1"/>
    <w:rsid w:val="007F384F"/>
    <w:rsid w:val="007F6106"/>
    <w:rsid w:val="008010DE"/>
    <w:rsid w:val="008039D7"/>
    <w:rsid w:val="008127CB"/>
    <w:rsid w:val="00815A75"/>
    <w:rsid w:val="00817263"/>
    <w:rsid w:val="00817B7B"/>
    <w:rsid w:val="00822F95"/>
    <w:rsid w:val="0082424C"/>
    <w:rsid w:val="0083598C"/>
    <w:rsid w:val="00836823"/>
    <w:rsid w:val="00836E82"/>
    <w:rsid w:val="008475BB"/>
    <w:rsid w:val="00851C12"/>
    <w:rsid w:val="00852D73"/>
    <w:rsid w:val="008540E8"/>
    <w:rsid w:val="00877AE5"/>
    <w:rsid w:val="008806F6"/>
    <w:rsid w:val="008817BB"/>
    <w:rsid w:val="00882DEF"/>
    <w:rsid w:val="008859E1"/>
    <w:rsid w:val="00890C45"/>
    <w:rsid w:val="00893F79"/>
    <w:rsid w:val="00895978"/>
    <w:rsid w:val="00895C49"/>
    <w:rsid w:val="00896520"/>
    <w:rsid w:val="00897516"/>
    <w:rsid w:val="008A0B68"/>
    <w:rsid w:val="008A1F80"/>
    <w:rsid w:val="008A2517"/>
    <w:rsid w:val="008A2521"/>
    <w:rsid w:val="008A2E71"/>
    <w:rsid w:val="008B0B20"/>
    <w:rsid w:val="008B1084"/>
    <w:rsid w:val="008B26B6"/>
    <w:rsid w:val="008B3792"/>
    <w:rsid w:val="008B6CA4"/>
    <w:rsid w:val="008D0CD6"/>
    <w:rsid w:val="008D1B4E"/>
    <w:rsid w:val="008D2A2C"/>
    <w:rsid w:val="008D2D17"/>
    <w:rsid w:val="008D6BE4"/>
    <w:rsid w:val="008D759B"/>
    <w:rsid w:val="008E53E9"/>
    <w:rsid w:val="008E6F66"/>
    <w:rsid w:val="008F576E"/>
    <w:rsid w:val="00903336"/>
    <w:rsid w:val="00903AE0"/>
    <w:rsid w:val="00903B97"/>
    <w:rsid w:val="00906DFA"/>
    <w:rsid w:val="0091029B"/>
    <w:rsid w:val="00910A03"/>
    <w:rsid w:val="00911D97"/>
    <w:rsid w:val="00912EB8"/>
    <w:rsid w:val="009170E5"/>
    <w:rsid w:val="0091753A"/>
    <w:rsid w:val="009202C4"/>
    <w:rsid w:val="00921691"/>
    <w:rsid w:val="00923278"/>
    <w:rsid w:val="009270B8"/>
    <w:rsid w:val="00942420"/>
    <w:rsid w:val="00946798"/>
    <w:rsid w:val="00956A00"/>
    <w:rsid w:val="009578E1"/>
    <w:rsid w:val="009612F5"/>
    <w:rsid w:val="009619FA"/>
    <w:rsid w:val="00963CA5"/>
    <w:rsid w:val="00965966"/>
    <w:rsid w:val="00972E20"/>
    <w:rsid w:val="00983C45"/>
    <w:rsid w:val="00990A39"/>
    <w:rsid w:val="009948DB"/>
    <w:rsid w:val="009A54D3"/>
    <w:rsid w:val="009B223B"/>
    <w:rsid w:val="009B29B7"/>
    <w:rsid w:val="009B3828"/>
    <w:rsid w:val="009C0861"/>
    <w:rsid w:val="009C30BC"/>
    <w:rsid w:val="009C5E27"/>
    <w:rsid w:val="009D207D"/>
    <w:rsid w:val="009D558C"/>
    <w:rsid w:val="009D67A6"/>
    <w:rsid w:val="009E044A"/>
    <w:rsid w:val="009F1861"/>
    <w:rsid w:val="009F76CA"/>
    <w:rsid w:val="00A111C5"/>
    <w:rsid w:val="00A17703"/>
    <w:rsid w:val="00A20EC4"/>
    <w:rsid w:val="00A21C03"/>
    <w:rsid w:val="00A2372B"/>
    <w:rsid w:val="00A2539B"/>
    <w:rsid w:val="00A25788"/>
    <w:rsid w:val="00A26BC6"/>
    <w:rsid w:val="00A3341D"/>
    <w:rsid w:val="00A350A9"/>
    <w:rsid w:val="00A37A97"/>
    <w:rsid w:val="00A4039E"/>
    <w:rsid w:val="00A40E0B"/>
    <w:rsid w:val="00A41073"/>
    <w:rsid w:val="00A426F3"/>
    <w:rsid w:val="00A476CC"/>
    <w:rsid w:val="00A71DD5"/>
    <w:rsid w:val="00A81840"/>
    <w:rsid w:val="00A82C06"/>
    <w:rsid w:val="00A83227"/>
    <w:rsid w:val="00A84399"/>
    <w:rsid w:val="00A849D5"/>
    <w:rsid w:val="00A86B1E"/>
    <w:rsid w:val="00A90E4E"/>
    <w:rsid w:val="00A946A4"/>
    <w:rsid w:val="00A95160"/>
    <w:rsid w:val="00A958BD"/>
    <w:rsid w:val="00A979EB"/>
    <w:rsid w:val="00AA2679"/>
    <w:rsid w:val="00AA3B31"/>
    <w:rsid w:val="00AA7054"/>
    <w:rsid w:val="00AB0D6F"/>
    <w:rsid w:val="00AB39FB"/>
    <w:rsid w:val="00AB46FD"/>
    <w:rsid w:val="00AB6266"/>
    <w:rsid w:val="00AC202C"/>
    <w:rsid w:val="00AC2A68"/>
    <w:rsid w:val="00AC3241"/>
    <w:rsid w:val="00AC4618"/>
    <w:rsid w:val="00AC5C88"/>
    <w:rsid w:val="00AC66B3"/>
    <w:rsid w:val="00AC7A45"/>
    <w:rsid w:val="00AC7D87"/>
    <w:rsid w:val="00AD2937"/>
    <w:rsid w:val="00AD45FA"/>
    <w:rsid w:val="00AD692D"/>
    <w:rsid w:val="00AE296D"/>
    <w:rsid w:val="00AF2B6C"/>
    <w:rsid w:val="00AF503E"/>
    <w:rsid w:val="00AF7B59"/>
    <w:rsid w:val="00B1044B"/>
    <w:rsid w:val="00B1210B"/>
    <w:rsid w:val="00B137A0"/>
    <w:rsid w:val="00B2132F"/>
    <w:rsid w:val="00B262DE"/>
    <w:rsid w:val="00B3522F"/>
    <w:rsid w:val="00B3699F"/>
    <w:rsid w:val="00B37798"/>
    <w:rsid w:val="00B40E91"/>
    <w:rsid w:val="00B419D8"/>
    <w:rsid w:val="00B41C28"/>
    <w:rsid w:val="00B4326C"/>
    <w:rsid w:val="00B50ADC"/>
    <w:rsid w:val="00B513BB"/>
    <w:rsid w:val="00B52457"/>
    <w:rsid w:val="00B52F45"/>
    <w:rsid w:val="00B55D8E"/>
    <w:rsid w:val="00B63680"/>
    <w:rsid w:val="00B66F0D"/>
    <w:rsid w:val="00B66F4C"/>
    <w:rsid w:val="00B72F71"/>
    <w:rsid w:val="00B83B63"/>
    <w:rsid w:val="00B849EB"/>
    <w:rsid w:val="00B85348"/>
    <w:rsid w:val="00B902C5"/>
    <w:rsid w:val="00B90AED"/>
    <w:rsid w:val="00B91885"/>
    <w:rsid w:val="00B92EBC"/>
    <w:rsid w:val="00B97E5A"/>
    <w:rsid w:val="00BA138D"/>
    <w:rsid w:val="00BA6054"/>
    <w:rsid w:val="00BA7140"/>
    <w:rsid w:val="00BA74CB"/>
    <w:rsid w:val="00BB0398"/>
    <w:rsid w:val="00BB1619"/>
    <w:rsid w:val="00BC3849"/>
    <w:rsid w:val="00BC7C42"/>
    <w:rsid w:val="00BD02A2"/>
    <w:rsid w:val="00BD04E1"/>
    <w:rsid w:val="00BD0BDB"/>
    <w:rsid w:val="00BD0CC8"/>
    <w:rsid w:val="00BD56F3"/>
    <w:rsid w:val="00BD5889"/>
    <w:rsid w:val="00BD717D"/>
    <w:rsid w:val="00BE3BDC"/>
    <w:rsid w:val="00BF482E"/>
    <w:rsid w:val="00BF5921"/>
    <w:rsid w:val="00BF63FD"/>
    <w:rsid w:val="00C07252"/>
    <w:rsid w:val="00C1059C"/>
    <w:rsid w:val="00C119EE"/>
    <w:rsid w:val="00C1240A"/>
    <w:rsid w:val="00C12EA9"/>
    <w:rsid w:val="00C152E5"/>
    <w:rsid w:val="00C16ACA"/>
    <w:rsid w:val="00C16F8C"/>
    <w:rsid w:val="00C21FCC"/>
    <w:rsid w:val="00C23FAD"/>
    <w:rsid w:val="00C31C29"/>
    <w:rsid w:val="00C326EC"/>
    <w:rsid w:val="00C3282D"/>
    <w:rsid w:val="00C32FB8"/>
    <w:rsid w:val="00C368FA"/>
    <w:rsid w:val="00C37410"/>
    <w:rsid w:val="00C40C8F"/>
    <w:rsid w:val="00C431E4"/>
    <w:rsid w:val="00C44284"/>
    <w:rsid w:val="00C51416"/>
    <w:rsid w:val="00C5396D"/>
    <w:rsid w:val="00C55390"/>
    <w:rsid w:val="00C5784F"/>
    <w:rsid w:val="00C601D4"/>
    <w:rsid w:val="00C62D53"/>
    <w:rsid w:val="00C701AA"/>
    <w:rsid w:val="00C7376E"/>
    <w:rsid w:val="00C9227A"/>
    <w:rsid w:val="00C96BF4"/>
    <w:rsid w:val="00CA2D7C"/>
    <w:rsid w:val="00CA41C6"/>
    <w:rsid w:val="00CA59C2"/>
    <w:rsid w:val="00CC2BDD"/>
    <w:rsid w:val="00CD2096"/>
    <w:rsid w:val="00CD23A4"/>
    <w:rsid w:val="00CD37C5"/>
    <w:rsid w:val="00CE2E55"/>
    <w:rsid w:val="00CE3AE1"/>
    <w:rsid w:val="00CE63DC"/>
    <w:rsid w:val="00CE6D5D"/>
    <w:rsid w:val="00CE78D3"/>
    <w:rsid w:val="00D11B1F"/>
    <w:rsid w:val="00D130A3"/>
    <w:rsid w:val="00D17736"/>
    <w:rsid w:val="00D310F1"/>
    <w:rsid w:val="00D3291E"/>
    <w:rsid w:val="00D343AE"/>
    <w:rsid w:val="00D376FC"/>
    <w:rsid w:val="00D377B8"/>
    <w:rsid w:val="00D4326D"/>
    <w:rsid w:val="00D53C5B"/>
    <w:rsid w:val="00D54291"/>
    <w:rsid w:val="00D546CA"/>
    <w:rsid w:val="00D56862"/>
    <w:rsid w:val="00D670B3"/>
    <w:rsid w:val="00D71E32"/>
    <w:rsid w:val="00D73233"/>
    <w:rsid w:val="00D82D93"/>
    <w:rsid w:val="00D85BA5"/>
    <w:rsid w:val="00D91119"/>
    <w:rsid w:val="00D93667"/>
    <w:rsid w:val="00D93CE7"/>
    <w:rsid w:val="00D961D6"/>
    <w:rsid w:val="00D97BAE"/>
    <w:rsid w:val="00DB7210"/>
    <w:rsid w:val="00DB7C37"/>
    <w:rsid w:val="00DC624F"/>
    <w:rsid w:val="00DC7E69"/>
    <w:rsid w:val="00DD56A5"/>
    <w:rsid w:val="00DE1D08"/>
    <w:rsid w:val="00DE2FEB"/>
    <w:rsid w:val="00DF141B"/>
    <w:rsid w:val="00DF314E"/>
    <w:rsid w:val="00DF4170"/>
    <w:rsid w:val="00E01B82"/>
    <w:rsid w:val="00E167FB"/>
    <w:rsid w:val="00E264E4"/>
    <w:rsid w:val="00E331C2"/>
    <w:rsid w:val="00E41A9C"/>
    <w:rsid w:val="00E4242D"/>
    <w:rsid w:val="00E4436F"/>
    <w:rsid w:val="00E50B84"/>
    <w:rsid w:val="00E524E7"/>
    <w:rsid w:val="00E8212E"/>
    <w:rsid w:val="00E82359"/>
    <w:rsid w:val="00E83ED7"/>
    <w:rsid w:val="00E84630"/>
    <w:rsid w:val="00E85684"/>
    <w:rsid w:val="00E974DE"/>
    <w:rsid w:val="00EA4774"/>
    <w:rsid w:val="00EB36CE"/>
    <w:rsid w:val="00EC23FE"/>
    <w:rsid w:val="00EC5D00"/>
    <w:rsid w:val="00ED2EA9"/>
    <w:rsid w:val="00ED371A"/>
    <w:rsid w:val="00ED6F2B"/>
    <w:rsid w:val="00ED7605"/>
    <w:rsid w:val="00EE2063"/>
    <w:rsid w:val="00EE3FF4"/>
    <w:rsid w:val="00EE49DF"/>
    <w:rsid w:val="00EE49EE"/>
    <w:rsid w:val="00EE4A7C"/>
    <w:rsid w:val="00EF7EBE"/>
    <w:rsid w:val="00F01B58"/>
    <w:rsid w:val="00F027BE"/>
    <w:rsid w:val="00F03A93"/>
    <w:rsid w:val="00F2447F"/>
    <w:rsid w:val="00F272BA"/>
    <w:rsid w:val="00F27F27"/>
    <w:rsid w:val="00F3199D"/>
    <w:rsid w:val="00F353EC"/>
    <w:rsid w:val="00F365A3"/>
    <w:rsid w:val="00F50151"/>
    <w:rsid w:val="00F52AFF"/>
    <w:rsid w:val="00F52C7E"/>
    <w:rsid w:val="00F55833"/>
    <w:rsid w:val="00F55F3E"/>
    <w:rsid w:val="00F577D2"/>
    <w:rsid w:val="00F60370"/>
    <w:rsid w:val="00F6038B"/>
    <w:rsid w:val="00F70491"/>
    <w:rsid w:val="00F717BC"/>
    <w:rsid w:val="00F72BAD"/>
    <w:rsid w:val="00F73720"/>
    <w:rsid w:val="00F76737"/>
    <w:rsid w:val="00F85FF6"/>
    <w:rsid w:val="00F86782"/>
    <w:rsid w:val="00F96AC5"/>
    <w:rsid w:val="00F96E57"/>
    <w:rsid w:val="00FA0C4F"/>
    <w:rsid w:val="00FA5441"/>
    <w:rsid w:val="00FB24CC"/>
    <w:rsid w:val="00FB332A"/>
    <w:rsid w:val="00FB5B2A"/>
    <w:rsid w:val="00FD2E30"/>
    <w:rsid w:val="00FE3DFA"/>
    <w:rsid w:val="00FE40A5"/>
    <w:rsid w:val="00FE4305"/>
    <w:rsid w:val="00FF11F1"/>
    <w:rsid w:val="00FF1FA6"/>
    <w:rsid w:val="00FF54DD"/>
    <w:rsid w:val="010722E9"/>
    <w:rsid w:val="010E66D7"/>
    <w:rsid w:val="012673F4"/>
    <w:rsid w:val="013B28A8"/>
    <w:rsid w:val="0154735F"/>
    <w:rsid w:val="01657C98"/>
    <w:rsid w:val="016E3521"/>
    <w:rsid w:val="016E6A00"/>
    <w:rsid w:val="01731660"/>
    <w:rsid w:val="01922FA4"/>
    <w:rsid w:val="019C0078"/>
    <w:rsid w:val="01A069AD"/>
    <w:rsid w:val="01A22E6C"/>
    <w:rsid w:val="01B36458"/>
    <w:rsid w:val="01C16464"/>
    <w:rsid w:val="01C6002E"/>
    <w:rsid w:val="01D50D1B"/>
    <w:rsid w:val="01D61492"/>
    <w:rsid w:val="01DD3341"/>
    <w:rsid w:val="020039F1"/>
    <w:rsid w:val="02203B33"/>
    <w:rsid w:val="02262B08"/>
    <w:rsid w:val="02355618"/>
    <w:rsid w:val="0236134C"/>
    <w:rsid w:val="024F2758"/>
    <w:rsid w:val="025C54A2"/>
    <w:rsid w:val="025C7EC1"/>
    <w:rsid w:val="026411DD"/>
    <w:rsid w:val="027F6920"/>
    <w:rsid w:val="028154CF"/>
    <w:rsid w:val="02882C57"/>
    <w:rsid w:val="02976EDC"/>
    <w:rsid w:val="02A173DF"/>
    <w:rsid w:val="02A32A65"/>
    <w:rsid w:val="02AC1904"/>
    <w:rsid w:val="02B43EFA"/>
    <w:rsid w:val="02C56229"/>
    <w:rsid w:val="02CB7425"/>
    <w:rsid w:val="02D328FD"/>
    <w:rsid w:val="02D9091E"/>
    <w:rsid w:val="02EA0BEA"/>
    <w:rsid w:val="02EE5F91"/>
    <w:rsid w:val="02F94595"/>
    <w:rsid w:val="030211C6"/>
    <w:rsid w:val="030265B5"/>
    <w:rsid w:val="0321174D"/>
    <w:rsid w:val="033720BB"/>
    <w:rsid w:val="033A20E9"/>
    <w:rsid w:val="033E6200"/>
    <w:rsid w:val="033E6E2C"/>
    <w:rsid w:val="034372BF"/>
    <w:rsid w:val="03623C0F"/>
    <w:rsid w:val="037D6455"/>
    <w:rsid w:val="038C722F"/>
    <w:rsid w:val="039425B3"/>
    <w:rsid w:val="03B65097"/>
    <w:rsid w:val="03C748ED"/>
    <w:rsid w:val="03D313ED"/>
    <w:rsid w:val="03D5056A"/>
    <w:rsid w:val="0401537D"/>
    <w:rsid w:val="041E72CB"/>
    <w:rsid w:val="042119A9"/>
    <w:rsid w:val="0421436F"/>
    <w:rsid w:val="04232932"/>
    <w:rsid w:val="043F1286"/>
    <w:rsid w:val="04415EBC"/>
    <w:rsid w:val="044F604C"/>
    <w:rsid w:val="0458485F"/>
    <w:rsid w:val="04613BD4"/>
    <w:rsid w:val="0463420A"/>
    <w:rsid w:val="046B552B"/>
    <w:rsid w:val="04727BC5"/>
    <w:rsid w:val="048C3733"/>
    <w:rsid w:val="04900584"/>
    <w:rsid w:val="04A479F0"/>
    <w:rsid w:val="04A51E61"/>
    <w:rsid w:val="04B07848"/>
    <w:rsid w:val="04B9488F"/>
    <w:rsid w:val="04CC091E"/>
    <w:rsid w:val="04CF5E22"/>
    <w:rsid w:val="04D32BAB"/>
    <w:rsid w:val="04D47558"/>
    <w:rsid w:val="04D75EF0"/>
    <w:rsid w:val="04EB2E49"/>
    <w:rsid w:val="04EB6012"/>
    <w:rsid w:val="04F30938"/>
    <w:rsid w:val="04F54F53"/>
    <w:rsid w:val="050E0304"/>
    <w:rsid w:val="050E41F2"/>
    <w:rsid w:val="0514576F"/>
    <w:rsid w:val="05150AE0"/>
    <w:rsid w:val="051B50C2"/>
    <w:rsid w:val="052607B8"/>
    <w:rsid w:val="05266E76"/>
    <w:rsid w:val="05446CE5"/>
    <w:rsid w:val="05447DB5"/>
    <w:rsid w:val="05467581"/>
    <w:rsid w:val="054F0820"/>
    <w:rsid w:val="05636579"/>
    <w:rsid w:val="05650DE9"/>
    <w:rsid w:val="056F5942"/>
    <w:rsid w:val="058C035B"/>
    <w:rsid w:val="059B6134"/>
    <w:rsid w:val="05A24626"/>
    <w:rsid w:val="05AD2C72"/>
    <w:rsid w:val="05C43EE6"/>
    <w:rsid w:val="05D54948"/>
    <w:rsid w:val="05DB14E8"/>
    <w:rsid w:val="05EF5E2D"/>
    <w:rsid w:val="05FA052E"/>
    <w:rsid w:val="061D7711"/>
    <w:rsid w:val="062F302C"/>
    <w:rsid w:val="06686B47"/>
    <w:rsid w:val="066B523F"/>
    <w:rsid w:val="06724C2B"/>
    <w:rsid w:val="06754019"/>
    <w:rsid w:val="06854B52"/>
    <w:rsid w:val="068F3C72"/>
    <w:rsid w:val="0696497E"/>
    <w:rsid w:val="069B1A81"/>
    <w:rsid w:val="06AA39E6"/>
    <w:rsid w:val="06B771D6"/>
    <w:rsid w:val="06B84413"/>
    <w:rsid w:val="06BA5A91"/>
    <w:rsid w:val="06BB10F4"/>
    <w:rsid w:val="06BD11CC"/>
    <w:rsid w:val="06C81335"/>
    <w:rsid w:val="06CF6423"/>
    <w:rsid w:val="06D16D11"/>
    <w:rsid w:val="06ED671B"/>
    <w:rsid w:val="06F9217E"/>
    <w:rsid w:val="070165A7"/>
    <w:rsid w:val="07107133"/>
    <w:rsid w:val="07353271"/>
    <w:rsid w:val="07483995"/>
    <w:rsid w:val="075040C5"/>
    <w:rsid w:val="07575EFC"/>
    <w:rsid w:val="0770257E"/>
    <w:rsid w:val="077D7291"/>
    <w:rsid w:val="077E7555"/>
    <w:rsid w:val="07B05428"/>
    <w:rsid w:val="07B8797E"/>
    <w:rsid w:val="07ED7B95"/>
    <w:rsid w:val="080D2BFA"/>
    <w:rsid w:val="081E726F"/>
    <w:rsid w:val="082B6EC2"/>
    <w:rsid w:val="082D6084"/>
    <w:rsid w:val="08332F2D"/>
    <w:rsid w:val="08393AAD"/>
    <w:rsid w:val="084936BE"/>
    <w:rsid w:val="084E63F3"/>
    <w:rsid w:val="085C52DF"/>
    <w:rsid w:val="08636665"/>
    <w:rsid w:val="086C0109"/>
    <w:rsid w:val="08773966"/>
    <w:rsid w:val="08A30837"/>
    <w:rsid w:val="08B5047A"/>
    <w:rsid w:val="08BD091C"/>
    <w:rsid w:val="08C35616"/>
    <w:rsid w:val="08D055DF"/>
    <w:rsid w:val="08F4305E"/>
    <w:rsid w:val="08F82D5D"/>
    <w:rsid w:val="09140592"/>
    <w:rsid w:val="091D73E7"/>
    <w:rsid w:val="09376F91"/>
    <w:rsid w:val="09411E5F"/>
    <w:rsid w:val="094C2522"/>
    <w:rsid w:val="096814AB"/>
    <w:rsid w:val="097A6E34"/>
    <w:rsid w:val="099379A6"/>
    <w:rsid w:val="099C7EB0"/>
    <w:rsid w:val="09A1544A"/>
    <w:rsid w:val="09AC209F"/>
    <w:rsid w:val="09AC3996"/>
    <w:rsid w:val="09B048D8"/>
    <w:rsid w:val="09CE74C6"/>
    <w:rsid w:val="09E6742C"/>
    <w:rsid w:val="09E70E0A"/>
    <w:rsid w:val="09E76CBC"/>
    <w:rsid w:val="09F95E83"/>
    <w:rsid w:val="0A061D9C"/>
    <w:rsid w:val="0A0B50EF"/>
    <w:rsid w:val="0A17006C"/>
    <w:rsid w:val="0A235B3F"/>
    <w:rsid w:val="0A3922EC"/>
    <w:rsid w:val="0A3D3F95"/>
    <w:rsid w:val="0A544D5D"/>
    <w:rsid w:val="0A58617E"/>
    <w:rsid w:val="0A5A2644"/>
    <w:rsid w:val="0A643EDB"/>
    <w:rsid w:val="0A830E82"/>
    <w:rsid w:val="0A854EDA"/>
    <w:rsid w:val="0A8728B7"/>
    <w:rsid w:val="0A944EC4"/>
    <w:rsid w:val="0AB17A28"/>
    <w:rsid w:val="0AB57A93"/>
    <w:rsid w:val="0AC074C8"/>
    <w:rsid w:val="0ACE0C1B"/>
    <w:rsid w:val="0AD633EF"/>
    <w:rsid w:val="0AD67E29"/>
    <w:rsid w:val="0AE16809"/>
    <w:rsid w:val="0AE21796"/>
    <w:rsid w:val="0AF54864"/>
    <w:rsid w:val="0AF60129"/>
    <w:rsid w:val="0AF827E9"/>
    <w:rsid w:val="0B0C5C3A"/>
    <w:rsid w:val="0B0E29A9"/>
    <w:rsid w:val="0B206955"/>
    <w:rsid w:val="0B2D18C7"/>
    <w:rsid w:val="0B3D0DDF"/>
    <w:rsid w:val="0B3F308A"/>
    <w:rsid w:val="0B436987"/>
    <w:rsid w:val="0B497BDC"/>
    <w:rsid w:val="0B4D1F06"/>
    <w:rsid w:val="0B516CAB"/>
    <w:rsid w:val="0B536C22"/>
    <w:rsid w:val="0B5E250E"/>
    <w:rsid w:val="0B7257D4"/>
    <w:rsid w:val="0B7777F0"/>
    <w:rsid w:val="0B936328"/>
    <w:rsid w:val="0BB57B4A"/>
    <w:rsid w:val="0BB90648"/>
    <w:rsid w:val="0BC93C38"/>
    <w:rsid w:val="0BCA77C4"/>
    <w:rsid w:val="0BCF65C4"/>
    <w:rsid w:val="0BF21D28"/>
    <w:rsid w:val="0C135898"/>
    <w:rsid w:val="0C155C2C"/>
    <w:rsid w:val="0C1615FF"/>
    <w:rsid w:val="0C200A6B"/>
    <w:rsid w:val="0C253866"/>
    <w:rsid w:val="0C2756C9"/>
    <w:rsid w:val="0C2A2D76"/>
    <w:rsid w:val="0C2B309A"/>
    <w:rsid w:val="0C2D30EF"/>
    <w:rsid w:val="0C310609"/>
    <w:rsid w:val="0C32193F"/>
    <w:rsid w:val="0C5C44A8"/>
    <w:rsid w:val="0C746238"/>
    <w:rsid w:val="0C7A3CEC"/>
    <w:rsid w:val="0C835681"/>
    <w:rsid w:val="0C8C6105"/>
    <w:rsid w:val="0C925D44"/>
    <w:rsid w:val="0CC62D91"/>
    <w:rsid w:val="0CD54D72"/>
    <w:rsid w:val="0CD66383"/>
    <w:rsid w:val="0CD669AC"/>
    <w:rsid w:val="0CDF23C5"/>
    <w:rsid w:val="0D0017BF"/>
    <w:rsid w:val="0D010974"/>
    <w:rsid w:val="0D037F1C"/>
    <w:rsid w:val="0D065BBB"/>
    <w:rsid w:val="0D1722A5"/>
    <w:rsid w:val="0D343FEE"/>
    <w:rsid w:val="0D5844D2"/>
    <w:rsid w:val="0D8832EA"/>
    <w:rsid w:val="0D9228AF"/>
    <w:rsid w:val="0D9A3D04"/>
    <w:rsid w:val="0DA350FC"/>
    <w:rsid w:val="0DA36ECD"/>
    <w:rsid w:val="0DAC39EE"/>
    <w:rsid w:val="0DB023CC"/>
    <w:rsid w:val="0DBE431A"/>
    <w:rsid w:val="0DC10F2A"/>
    <w:rsid w:val="0DC33551"/>
    <w:rsid w:val="0DC72001"/>
    <w:rsid w:val="0DCA11EA"/>
    <w:rsid w:val="0DCF676B"/>
    <w:rsid w:val="0DD10E1D"/>
    <w:rsid w:val="0DE069E7"/>
    <w:rsid w:val="0DE77A64"/>
    <w:rsid w:val="0DEC54D9"/>
    <w:rsid w:val="0DF731B2"/>
    <w:rsid w:val="0DFB3293"/>
    <w:rsid w:val="0E01344B"/>
    <w:rsid w:val="0E0A0B7C"/>
    <w:rsid w:val="0E0E1A26"/>
    <w:rsid w:val="0E37685E"/>
    <w:rsid w:val="0E463722"/>
    <w:rsid w:val="0E4C0CB8"/>
    <w:rsid w:val="0E536E2D"/>
    <w:rsid w:val="0E537792"/>
    <w:rsid w:val="0E7B2A23"/>
    <w:rsid w:val="0E902E62"/>
    <w:rsid w:val="0E9C0802"/>
    <w:rsid w:val="0EB05184"/>
    <w:rsid w:val="0EB06612"/>
    <w:rsid w:val="0EB1205E"/>
    <w:rsid w:val="0EBD42FF"/>
    <w:rsid w:val="0ECA1F5F"/>
    <w:rsid w:val="0ECE0C8A"/>
    <w:rsid w:val="0ED509ED"/>
    <w:rsid w:val="0EF95776"/>
    <w:rsid w:val="0F0A1EA4"/>
    <w:rsid w:val="0F0C4C39"/>
    <w:rsid w:val="0F1508FD"/>
    <w:rsid w:val="0F205AE7"/>
    <w:rsid w:val="0F2462E0"/>
    <w:rsid w:val="0F2D576B"/>
    <w:rsid w:val="0F3C3333"/>
    <w:rsid w:val="0F4107FF"/>
    <w:rsid w:val="0F4528F2"/>
    <w:rsid w:val="0F4F7D21"/>
    <w:rsid w:val="0F637D63"/>
    <w:rsid w:val="0F6F6E28"/>
    <w:rsid w:val="0F97429C"/>
    <w:rsid w:val="0F9831D5"/>
    <w:rsid w:val="0FA62DDE"/>
    <w:rsid w:val="0FAA477F"/>
    <w:rsid w:val="0FAB3D1D"/>
    <w:rsid w:val="0FF17BB5"/>
    <w:rsid w:val="0FFF7B65"/>
    <w:rsid w:val="101C4086"/>
    <w:rsid w:val="10445386"/>
    <w:rsid w:val="104A31AD"/>
    <w:rsid w:val="104B5792"/>
    <w:rsid w:val="1055224B"/>
    <w:rsid w:val="106C03BD"/>
    <w:rsid w:val="106F7663"/>
    <w:rsid w:val="107F1AB0"/>
    <w:rsid w:val="108111C7"/>
    <w:rsid w:val="108631D2"/>
    <w:rsid w:val="108869D8"/>
    <w:rsid w:val="108E4384"/>
    <w:rsid w:val="108E4D34"/>
    <w:rsid w:val="10A265A8"/>
    <w:rsid w:val="10AA2FEB"/>
    <w:rsid w:val="10B66878"/>
    <w:rsid w:val="10C13B0B"/>
    <w:rsid w:val="10C47602"/>
    <w:rsid w:val="10DF3EDE"/>
    <w:rsid w:val="10E064FB"/>
    <w:rsid w:val="10EF5D3F"/>
    <w:rsid w:val="10F019E2"/>
    <w:rsid w:val="10F077A2"/>
    <w:rsid w:val="10FB6544"/>
    <w:rsid w:val="10FD4C25"/>
    <w:rsid w:val="10FE4EA0"/>
    <w:rsid w:val="110D4DC1"/>
    <w:rsid w:val="110F3577"/>
    <w:rsid w:val="110F6FB3"/>
    <w:rsid w:val="112013FC"/>
    <w:rsid w:val="11315E59"/>
    <w:rsid w:val="11456DB9"/>
    <w:rsid w:val="115067F1"/>
    <w:rsid w:val="115D21BD"/>
    <w:rsid w:val="115D6BE6"/>
    <w:rsid w:val="116809B9"/>
    <w:rsid w:val="11767728"/>
    <w:rsid w:val="1189760F"/>
    <w:rsid w:val="118A0E11"/>
    <w:rsid w:val="119A25BF"/>
    <w:rsid w:val="11AF18D2"/>
    <w:rsid w:val="11BA12A5"/>
    <w:rsid w:val="11BC302F"/>
    <w:rsid w:val="11BD39B4"/>
    <w:rsid w:val="11CA10A6"/>
    <w:rsid w:val="11CA5FD7"/>
    <w:rsid w:val="11DD31A2"/>
    <w:rsid w:val="11FC1F52"/>
    <w:rsid w:val="120922C7"/>
    <w:rsid w:val="120F3BD4"/>
    <w:rsid w:val="1211430A"/>
    <w:rsid w:val="121C737A"/>
    <w:rsid w:val="12263B7F"/>
    <w:rsid w:val="122E6C0E"/>
    <w:rsid w:val="123E56D2"/>
    <w:rsid w:val="126057B8"/>
    <w:rsid w:val="12790940"/>
    <w:rsid w:val="127B1AFD"/>
    <w:rsid w:val="128A4C92"/>
    <w:rsid w:val="12957D99"/>
    <w:rsid w:val="1297713D"/>
    <w:rsid w:val="129A7161"/>
    <w:rsid w:val="129E1409"/>
    <w:rsid w:val="12A11B1A"/>
    <w:rsid w:val="12A5258F"/>
    <w:rsid w:val="12AF78C9"/>
    <w:rsid w:val="12B433F5"/>
    <w:rsid w:val="12DC1A0C"/>
    <w:rsid w:val="12F06D36"/>
    <w:rsid w:val="12F458BD"/>
    <w:rsid w:val="12F46E70"/>
    <w:rsid w:val="130035B9"/>
    <w:rsid w:val="130537EE"/>
    <w:rsid w:val="13097B6F"/>
    <w:rsid w:val="130F59E3"/>
    <w:rsid w:val="13307D55"/>
    <w:rsid w:val="13367DD3"/>
    <w:rsid w:val="133F0534"/>
    <w:rsid w:val="1349333B"/>
    <w:rsid w:val="13521BF8"/>
    <w:rsid w:val="13706EA3"/>
    <w:rsid w:val="13833A16"/>
    <w:rsid w:val="13A00349"/>
    <w:rsid w:val="13A01BFB"/>
    <w:rsid w:val="13BE1B2F"/>
    <w:rsid w:val="13C05C15"/>
    <w:rsid w:val="13C80B0E"/>
    <w:rsid w:val="13E02AB9"/>
    <w:rsid w:val="13E03B10"/>
    <w:rsid w:val="13E23872"/>
    <w:rsid w:val="13EA5FF4"/>
    <w:rsid w:val="13FC4B48"/>
    <w:rsid w:val="140E2FB1"/>
    <w:rsid w:val="14132D30"/>
    <w:rsid w:val="14185D01"/>
    <w:rsid w:val="142C0564"/>
    <w:rsid w:val="145B125A"/>
    <w:rsid w:val="14664B36"/>
    <w:rsid w:val="14686805"/>
    <w:rsid w:val="147E54F6"/>
    <w:rsid w:val="149112A3"/>
    <w:rsid w:val="149D315E"/>
    <w:rsid w:val="14C762E3"/>
    <w:rsid w:val="14CD0B24"/>
    <w:rsid w:val="14D145BA"/>
    <w:rsid w:val="14D34DAB"/>
    <w:rsid w:val="14DD77B0"/>
    <w:rsid w:val="14E86E8A"/>
    <w:rsid w:val="14EC23AC"/>
    <w:rsid w:val="14F17409"/>
    <w:rsid w:val="150C3DA4"/>
    <w:rsid w:val="15173E11"/>
    <w:rsid w:val="151F0F26"/>
    <w:rsid w:val="15415AD8"/>
    <w:rsid w:val="15457E07"/>
    <w:rsid w:val="154B1F10"/>
    <w:rsid w:val="156046CE"/>
    <w:rsid w:val="156531C3"/>
    <w:rsid w:val="15730496"/>
    <w:rsid w:val="15870611"/>
    <w:rsid w:val="158C7FFF"/>
    <w:rsid w:val="1596600B"/>
    <w:rsid w:val="159E7F03"/>
    <w:rsid w:val="15C5291D"/>
    <w:rsid w:val="15C5425A"/>
    <w:rsid w:val="15D420D2"/>
    <w:rsid w:val="15DF476C"/>
    <w:rsid w:val="15E131E6"/>
    <w:rsid w:val="16030F02"/>
    <w:rsid w:val="160A69F7"/>
    <w:rsid w:val="16175231"/>
    <w:rsid w:val="161A7EAC"/>
    <w:rsid w:val="162E4C6A"/>
    <w:rsid w:val="1634447B"/>
    <w:rsid w:val="16477179"/>
    <w:rsid w:val="16610033"/>
    <w:rsid w:val="167967EC"/>
    <w:rsid w:val="167E7AF5"/>
    <w:rsid w:val="168A3D91"/>
    <w:rsid w:val="16946DF1"/>
    <w:rsid w:val="16B36741"/>
    <w:rsid w:val="16B73F5D"/>
    <w:rsid w:val="16F31592"/>
    <w:rsid w:val="17331D55"/>
    <w:rsid w:val="17397221"/>
    <w:rsid w:val="17715329"/>
    <w:rsid w:val="17717D8D"/>
    <w:rsid w:val="177A23C2"/>
    <w:rsid w:val="17884312"/>
    <w:rsid w:val="17A47145"/>
    <w:rsid w:val="17AC3994"/>
    <w:rsid w:val="17C82B9C"/>
    <w:rsid w:val="17CD3A59"/>
    <w:rsid w:val="17D01D20"/>
    <w:rsid w:val="17D0340B"/>
    <w:rsid w:val="17D866D1"/>
    <w:rsid w:val="17DD3785"/>
    <w:rsid w:val="17F657C8"/>
    <w:rsid w:val="180D74CB"/>
    <w:rsid w:val="184531D4"/>
    <w:rsid w:val="18523DF4"/>
    <w:rsid w:val="185303C8"/>
    <w:rsid w:val="185B3322"/>
    <w:rsid w:val="185E7476"/>
    <w:rsid w:val="185F31D0"/>
    <w:rsid w:val="187F47C4"/>
    <w:rsid w:val="1889424E"/>
    <w:rsid w:val="189C22CA"/>
    <w:rsid w:val="18A55584"/>
    <w:rsid w:val="18AC7FE3"/>
    <w:rsid w:val="18B61822"/>
    <w:rsid w:val="18BD4DC4"/>
    <w:rsid w:val="18BD59AA"/>
    <w:rsid w:val="18D538EE"/>
    <w:rsid w:val="18D7790C"/>
    <w:rsid w:val="18DD50C0"/>
    <w:rsid w:val="18DD53FE"/>
    <w:rsid w:val="18EB194C"/>
    <w:rsid w:val="18F81CD0"/>
    <w:rsid w:val="19032873"/>
    <w:rsid w:val="190B3585"/>
    <w:rsid w:val="190E44F4"/>
    <w:rsid w:val="19124317"/>
    <w:rsid w:val="191B2137"/>
    <w:rsid w:val="192B3259"/>
    <w:rsid w:val="19330825"/>
    <w:rsid w:val="194C2D42"/>
    <w:rsid w:val="194C7D6D"/>
    <w:rsid w:val="195171AC"/>
    <w:rsid w:val="195E2843"/>
    <w:rsid w:val="19600EFD"/>
    <w:rsid w:val="19722C22"/>
    <w:rsid w:val="19792666"/>
    <w:rsid w:val="19845906"/>
    <w:rsid w:val="198F29FA"/>
    <w:rsid w:val="19904B7C"/>
    <w:rsid w:val="199F157D"/>
    <w:rsid w:val="19A07930"/>
    <w:rsid w:val="19B169B5"/>
    <w:rsid w:val="19C00BE2"/>
    <w:rsid w:val="19C11E2C"/>
    <w:rsid w:val="19C17102"/>
    <w:rsid w:val="19CE13F6"/>
    <w:rsid w:val="19D265E7"/>
    <w:rsid w:val="19D6155B"/>
    <w:rsid w:val="1A266D2A"/>
    <w:rsid w:val="1A2C05DE"/>
    <w:rsid w:val="1A3557C6"/>
    <w:rsid w:val="1A3A2D7A"/>
    <w:rsid w:val="1A404B3C"/>
    <w:rsid w:val="1A5118EB"/>
    <w:rsid w:val="1A5D6727"/>
    <w:rsid w:val="1A624908"/>
    <w:rsid w:val="1A6821B8"/>
    <w:rsid w:val="1A690240"/>
    <w:rsid w:val="1A780EE6"/>
    <w:rsid w:val="1A816BDF"/>
    <w:rsid w:val="1A8C38B3"/>
    <w:rsid w:val="1A924B57"/>
    <w:rsid w:val="1A97591F"/>
    <w:rsid w:val="1AAA1DA4"/>
    <w:rsid w:val="1AB64EEF"/>
    <w:rsid w:val="1AEC38BB"/>
    <w:rsid w:val="1AF7290C"/>
    <w:rsid w:val="1B020610"/>
    <w:rsid w:val="1B027C29"/>
    <w:rsid w:val="1B05153D"/>
    <w:rsid w:val="1B056C27"/>
    <w:rsid w:val="1B0875FF"/>
    <w:rsid w:val="1B1346CC"/>
    <w:rsid w:val="1B1E3B8B"/>
    <w:rsid w:val="1B2D12E5"/>
    <w:rsid w:val="1B3E1A26"/>
    <w:rsid w:val="1B431F74"/>
    <w:rsid w:val="1B451B49"/>
    <w:rsid w:val="1B4E4EEF"/>
    <w:rsid w:val="1B5134B7"/>
    <w:rsid w:val="1B6019B5"/>
    <w:rsid w:val="1B6311EF"/>
    <w:rsid w:val="1B8563B6"/>
    <w:rsid w:val="1B875410"/>
    <w:rsid w:val="1B8B4F9F"/>
    <w:rsid w:val="1B95341D"/>
    <w:rsid w:val="1B996E0C"/>
    <w:rsid w:val="1BD03B50"/>
    <w:rsid w:val="1BDC28AD"/>
    <w:rsid w:val="1BFA77D4"/>
    <w:rsid w:val="1C29691B"/>
    <w:rsid w:val="1C3D29A4"/>
    <w:rsid w:val="1C4C60DB"/>
    <w:rsid w:val="1C707AFE"/>
    <w:rsid w:val="1C8571A7"/>
    <w:rsid w:val="1C9F7676"/>
    <w:rsid w:val="1CB17B01"/>
    <w:rsid w:val="1CCA1C94"/>
    <w:rsid w:val="1CD75780"/>
    <w:rsid w:val="1CDB0730"/>
    <w:rsid w:val="1CE132EF"/>
    <w:rsid w:val="1CE7735C"/>
    <w:rsid w:val="1CE93783"/>
    <w:rsid w:val="1CF04325"/>
    <w:rsid w:val="1CF70444"/>
    <w:rsid w:val="1CFA2307"/>
    <w:rsid w:val="1D012BE6"/>
    <w:rsid w:val="1D084734"/>
    <w:rsid w:val="1D1F314B"/>
    <w:rsid w:val="1D553B95"/>
    <w:rsid w:val="1D5C4AAA"/>
    <w:rsid w:val="1D6542BA"/>
    <w:rsid w:val="1D7F18F3"/>
    <w:rsid w:val="1D9A206F"/>
    <w:rsid w:val="1DB541BD"/>
    <w:rsid w:val="1DB82EC9"/>
    <w:rsid w:val="1DCB45A6"/>
    <w:rsid w:val="1DDB6592"/>
    <w:rsid w:val="1DFF5001"/>
    <w:rsid w:val="1E0F6A92"/>
    <w:rsid w:val="1E1474CE"/>
    <w:rsid w:val="1E152A8A"/>
    <w:rsid w:val="1E1A5D7A"/>
    <w:rsid w:val="1E1C5706"/>
    <w:rsid w:val="1E325FA8"/>
    <w:rsid w:val="1E334D9C"/>
    <w:rsid w:val="1E435A83"/>
    <w:rsid w:val="1E435F0C"/>
    <w:rsid w:val="1E44398A"/>
    <w:rsid w:val="1E443D1B"/>
    <w:rsid w:val="1E4817FF"/>
    <w:rsid w:val="1E521D9A"/>
    <w:rsid w:val="1E5B0D6D"/>
    <w:rsid w:val="1E8539A5"/>
    <w:rsid w:val="1E8E03CF"/>
    <w:rsid w:val="1EA24AF3"/>
    <w:rsid w:val="1EA37801"/>
    <w:rsid w:val="1EB531C4"/>
    <w:rsid w:val="1EB9756E"/>
    <w:rsid w:val="1EBA296D"/>
    <w:rsid w:val="1EC35AE0"/>
    <w:rsid w:val="1ECA138C"/>
    <w:rsid w:val="1ECE39E7"/>
    <w:rsid w:val="1ED14FF6"/>
    <w:rsid w:val="1ED16A01"/>
    <w:rsid w:val="1EE27F31"/>
    <w:rsid w:val="1F155602"/>
    <w:rsid w:val="1F185DBA"/>
    <w:rsid w:val="1F255AD4"/>
    <w:rsid w:val="1F3A68B7"/>
    <w:rsid w:val="1F486A2F"/>
    <w:rsid w:val="1F5A60DF"/>
    <w:rsid w:val="1F6135B1"/>
    <w:rsid w:val="1F652D6A"/>
    <w:rsid w:val="1F6A2931"/>
    <w:rsid w:val="1F6B36EC"/>
    <w:rsid w:val="1F9A7272"/>
    <w:rsid w:val="1F9D730D"/>
    <w:rsid w:val="1FAB2946"/>
    <w:rsid w:val="1FB2588E"/>
    <w:rsid w:val="1FD17EA6"/>
    <w:rsid w:val="20082784"/>
    <w:rsid w:val="202307B1"/>
    <w:rsid w:val="20343884"/>
    <w:rsid w:val="204077A5"/>
    <w:rsid w:val="205A229B"/>
    <w:rsid w:val="206D5DB9"/>
    <w:rsid w:val="208E16D2"/>
    <w:rsid w:val="20937452"/>
    <w:rsid w:val="209A759E"/>
    <w:rsid w:val="20AA5DD7"/>
    <w:rsid w:val="20AF761B"/>
    <w:rsid w:val="20B11CEA"/>
    <w:rsid w:val="20CB2C7A"/>
    <w:rsid w:val="20D478AF"/>
    <w:rsid w:val="20D85C73"/>
    <w:rsid w:val="20F161F6"/>
    <w:rsid w:val="20F567B2"/>
    <w:rsid w:val="21007048"/>
    <w:rsid w:val="211D1619"/>
    <w:rsid w:val="21236550"/>
    <w:rsid w:val="212C5A20"/>
    <w:rsid w:val="212D61E2"/>
    <w:rsid w:val="21355311"/>
    <w:rsid w:val="213C6B5C"/>
    <w:rsid w:val="213D144E"/>
    <w:rsid w:val="214462CA"/>
    <w:rsid w:val="214C4AED"/>
    <w:rsid w:val="21521491"/>
    <w:rsid w:val="21585791"/>
    <w:rsid w:val="215B575D"/>
    <w:rsid w:val="215B60CA"/>
    <w:rsid w:val="215C67CA"/>
    <w:rsid w:val="216028B3"/>
    <w:rsid w:val="216830A4"/>
    <w:rsid w:val="216D149F"/>
    <w:rsid w:val="216D376E"/>
    <w:rsid w:val="216F3A7D"/>
    <w:rsid w:val="218A22CD"/>
    <w:rsid w:val="2192456D"/>
    <w:rsid w:val="219B77CB"/>
    <w:rsid w:val="21B378AD"/>
    <w:rsid w:val="21BA27E3"/>
    <w:rsid w:val="21BB6B46"/>
    <w:rsid w:val="21E95E1D"/>
    <w:rsid w:val="21F16F1F"/>
    <w:rsid w:val="220444C3"/>
    <w:rsid w:val="22045C19"/>
    <w:rsid w:val="22222F9A"/>
    <w:rsid w:val="2228370D"/>
    <w:rsid w:val="222F5B0A"/>
    <w:rsid w:val="22593EDD"/>
    <w:rsid w:val="226025D7"/>
    <w:rsid w:val="226239F8"/>
    <w:rsid w:val="227659DF"/>
    <w:rsid w:val="22815A58"/>
    <w:rsid w:val="228D7E3C"/>
    <w:rsid w:val="22920ECD"/>
    <w:rsid w:val="229800BE"/>
    <w:rsid w:val="229957DB"/>
    <w:rsid w:val="22AC3727"/>
    <w:rsid w:val="22B822D7"/>
    <w:rsid w:val="22C33179"/>
    <w:rsid w:val="22D976DA"/>
    <w:rsid w:val="22DF2F93"/>
    <w:rsid w:val="22E302AC"/>
    <w:rsid w:val="22E87D61"/>
    <w:rsid w:val="22EC2053"/>
    <w:rsid w:val="22F26846"/>
    <w:rsid w:val="22F34E8A"/>
    <w:rsid w:val="23342CA9"/>
    <w:rsid w:val="233B5726"/>
    <w:rsid w:val="233E7094"/>
    <w:rsid w:val="23404E83"/>
    <w:rsid w:val="2353440E"/>
    <w:rsid w:val="235441B9"/>
    <w:rsid w:val="23667905"/>
    <w:rsid w:val="23701AE4"/>
    <w:rsid w:val="2387192D"/>
    <w:rsid w:val="23930A10"/>
    <w:rsid w:val="23AF0131"/>
    <w:rsid w:val="23C52C76"/>
    <w:rsid w:val="23ED4C38"/>
    <w:rsid w:val="24004531"/>
    <w:rsid w:val="240A3FCC"/>
    <w:rsid w:val="240B0D62"/>
    <w:rsid w:val="240C7926"/>
    <w:rsid w:val="24156AF1"/>
    <w:rsid w:val="2416078B"/>
    <w:rsid w:val="24185822"/>
    <w:rsid w:val="241B51F5"/>
    <w:rsid w:val="24206983"/>
    <w:rsid w:val="2424228B"/>
    <w:rsid w:val="242F72FD"/>
    <w:rsid w:val="243514E0"/>
    <w:rsid w:val="24486434"/>
    <w:rsid w:val="244C2689"/>
    <w:rsid w:val="24766EFB"/>
    <w:rsid w:val="24936A9B"/>
    <w:rsid w:val="24950E72"/>
    <w:rsid w:val="249705A2"/>
    <w:rsid w:val="24AC1D20"/>
    <w:rsid w:val="24C00778"/>
    <w:rsid w:val="24C16C9A"/>
    <w:rsid w:val="24D75502"/>
    <w:rsid w:val="24EE4BA1"/>
    <w:rsid w:val="250B501D"/>
    <w:rsid w:val="250D4E51"/>
    <w:rsid w:val="250F6A4C"/>
    <w:rsid w:val="252D6404"/>
    <w:rsid w:val="253807A8"/>
    <w:rsid w:val="253B4A86"/>
    <w:rsid w:val="25575BBD"/>
    <w:rsid w:val="255C0607"/>
    <w:rsid w:val="257F5712"/>
    <w:rsid w:val="25832F0F"/>
    <w:rsid w:val="258344AA"/>
    <w:rsid w:val="2584574E"/>
    <w:rsid w:val="258510F0"/>
    <w:rsid w:val="2589107C"/>
    <w:rsid w:val="25936DE7"/>
    <w:rsid w:val="25962211"/>
    <w:rsid w:val="25A87676"/>
    <w:rsid w:val="25E8709C"/>
    <w:rsid w:val="25F10749"/>
    <w:rsid w:val="25F7512B"/>
    <w:rsid w:val="25FE6D48"/>
    <w:rsid w:val="2602194E"/>
    <w:rsid w:val="26085F60"/>
    <w:rsid w:val="2625171F"/>
    <w:rsid w:val="262B11DA"/>
    <w:rsid w:val="263D635C"/>
    <w:rsid w:val="264D19CD"/>
    <w:rsid w:val="265D470D"/>
    <w:rsid w:val="266A2118"/>
    <w:rsid w:val="266B2A3C"/>
    <w:rsid w:val="267C5C32"/>
    <w:rsid w:val="267F7DFB"/>
    <w:rsid w:val="268A77AC"/>
    <w:rsid w:val="268B6A4F"/>
    <w:rsid w:val="269002EA"/>
    <w:rsid w:val="2691559A"/>
    <w:rsid w:val="269509AA"/>
    <w:rsid w:val="269A38DB"/>
    <w:rsid w:val="26AA1990"/>
    <w:rsid w:val="26B95007"/>
    <w:rsid w:val="26C00A24"/>
    <w:rsid w:val="26C3588C"/>
    <w:rsid w:val="26C577ED"/>
    <w:rsid w:val="26C86DAB"/>
    <w:rsid w:val="26D37F06"/>
    <w:rsid w:val="26D553A7"/>
    <w:rsid w:val="26D6655F"/>
    <w:rsid w:val="26E74544"/>
    <w:rsid w:val="26EE5853"/>
    <w:rsid w:val="27004CDD"/>
    <w:rsid w:val="270220D7"/>
    <w:rsid w:val="2706568B"/>
    <w:rsid w:val="27071B36"/>
    <w:rsid w:val="270F6047"/>
    <w:rsid w:val="27136E96"/>
    <w:rsid w:val="27405473"/>
    <w:rsid w:val="27442AEE"/>
    <w:rsid w:val="274C2F4A"/>
    <w:rsid w:val="27622132"/>
    <w:rsid w:val="276B7B1D"/>
    <w:rsid w:val="277330D4"/>
    <w:rsid w:val="27830EC6"/>
    <w:rsid w:val="27885C15"/>
    <w:rsid w:val="278C5732"/>
    <w:rsid w:val="278F68B9"/>
    <w:rsid w:val="2799081E"/>
    <w:rsid w:val="27A1521F"/>
    <w:rsid w:val="27C2170F"/>
    <w:rsid w:val="27C92D6B"/>
    <w:rsid w:val="27F104AB"/>
    <w:rsid w:val="27F155AF"/>
    <w:rsid w:val="280943FC"/>
    <w:rsid w:val="28181747"/>
    <w:rsid w:val="2821780E"/>
    <w:rsid w:val="2824635A"/>
    <w:rsid w:val="283A79FE"/>
    <w:rsid w:val="28444DC2"/>
    <w:rsid w:val="285771D4"/>
    <w:rsid w:val="286E2451"/>
    <w:rsid w:val="28711446"/>
    <w:rsid w:val="28B7308F"/>
    <w:rsid w:val="28C72831"/>
    <w:rsid w:val="28CA31B6"/>
    <w:rsid w:val="28DC2033"/>
    <w:rsid w:val="28E9245E"/>
    <w:rsid w:val="28EA1A7F"/>
    <w:rsid w:val="28EC04B6"/>
    <w:rsid w:val="28EF013C"/>
    <w:rsid w:val="28F65BC8"/>
    <w:rsid w:val="28F86998"/>
    <w:rsid w:val="28FE011F"/>
    <w:rsid w:val="29016965"/>
    <w:rsid w:val="29023411"/>
    <w:rsid w:val="29052C2B"/>
    <w:rsid w:val="2927235E"/>
    <w:rsid w:val="293948DD"/>
    <w:rsid w:val="2946233D"/>
    <w:rsid w:val="294D5326"/>
    <w:rsid w:val="294F4AB7"/>
    <w:rsid w:val="29766902"/>
    <w:rsid w:val="29874D52"/>
    <w:rsid w:val="29910034"/>
    <w:rsid w:val="29926E79"/>
    <w:rsid w:val="29B62FA5"/>
    <w:rsid w:val="29BF5819"/>
    <w:rsid w:val="29CD7719"/>
    <w:rsid w:val="29CE0E40"/>
    <w:rsid w:val="29CE5D98"/>
    <w:rsid w:val="29D13ADE"/>
    <w:rsid w:val="29D34A6C"/>
    <w:rsid w:val="29D74A81"/>
    <w:rsid w:val="29DB1469"/>
    <w:rsid w:val="29E46F67"/>
    <w:rsid w:val="29E57C79"/>
    <w:rsid w:val="2A010664"/>
    <w:rsid w:val="2A4101AE"/>
    <w:rsid w:val="2A49662F"/>
    <w:rsid w:val="2A4E46DA"/>
    <w:rsid w:val="2A541741"/>
    <w:rsid w:val="2A5A7393"/>
    <w:rsid w:val="2A5E2741"/>
    <w:rsid w:val="2A61248C"/>
    <w:rsid w:val="2A770993"/>
    <w:rsid w:val="2A792CAE"/>
    <w:rsid w:val="2A8F2796"/>
    <w:rsid w:val="2A9204E0"/>
    <w:rsid w:val="2A980361"/>
    <w:rsid w:val="2A9D2078"/>
    <w:rsid w:val="2AA14AE7"/>
    <w:rsid w:val="2AB15149"/>
    <w:rsid w:val="2AB776C2"/>
    <w:rsid w:val="2AB80F57"/>
    <w:rsid w:val="2ABB2167"/>
    <w:rsid w:val="2ABC0D3A"/>
    <w:rsid w:val="2AC90A7A"/>
    <w:rsid w:val="2ACF36F2"/>
    <w:rsid w:val="2AD41975"/>
    <w:rsid w:val="2AD60985"/>
    <w:rsid w:val="2AD860E3"/>
    <w:rsid w:val="2AE8166E"/>
    <w:rsid w:val="2AED4B30"/>
    <w:rsid w:val="2AF27B65"/>
    <w:rsid w:val="2B1E604C"/>
    <w:rsid w:val="2B2B214F"/>
    <w:rsid w:val="2B2C42E7"/>
    <w:rsid w:val="2B2D0001"/>
    <w:rsid w:val="2B3378C5"/>
    <w:rsid w:val="2B3768CF"/>
    <w:rsid w:val="2B4C3ECC"/>
    <w:rsid w:val="2B4F1C72"/>
    <w:rsid w:val="2B62312E"/>
    <w:rsid w:val="2B73397A"/>
    <w:rsid w:val="2B853A87"/>
    <w:rsid w:val="2B903D73"/>
    <w:rsid w:val="2B9D332B"/>
    <w:rsid w:val="2BA931C0"/>
    <w:rsid w:val="2BAE4F80"/>
    <w:rsid w:val="2BB041A5"/>
    <w:rsid w:val="2BB07A3F"/>
    <w:rsid w:val="2BB57251"/>
    <w:rsid w:val="2BB81321"/>
    <w:rsid w:val="2BBF5B56"/>
    <w:rsid w:val="2BF36537"/>
    <w:rsid w:val="2BF450FD"/>
    <w:rsid w:val="2C066A05"/>
    <w:rsid w:val="2C106BC7"/>
    <w:rsid w:val="2C17187D"/>
    <w:rsid w:val="2C1B3ABF"/>
    <w:rsid w:val="2C2A22B9"/>
    <w:rsid w:val="2C354380"/>
    <w:rsid w:val="2C39350A"/>
    <w:rsid w:val="2C3E6F4F"/>
    <w:rsid w:val="2C3F1549"/>
    <w:rsid w:val="2C442C78"/>
    <w:rsid w:val="2C4F7506"/>
    <w:rsid w:val="2C5C128B"/>
    <w:rsid w:val="2C6F10A4"/>
    <w:rsid w:val="2C717EEE"/>
    <w:rsid w:val="2CAE38E1"/>
    <w:rsid w:val="2CAE5341"/>
    <w:rsid w:val="2CB05B98"/>
    <w:rsid w:val="2CB47A48"/>
    <w:rsid w:val="2CB92667"/>
    <w:rsid w:val="2CBA04D5"/>
    <w:rsid w:val="2CBC348C"/>
    <w:rsid w:val="2CC315EB"/>
    <w:rsid w:val="2CD048E5"/>
    <w:rsid w:val="2CD21362"/>
    <w:rsid w:val="2CD744AB"/>
    <w:rsid w:val="2CE34E2E"/>
    <w:rsid w:val="2CE81A84"/>
    <w:rsid w:val="2D3D4565"/>
    <w:rsid w:val="2D431E83"/>
    <w:rsid w:val="2D480EEF"/>
    <w:rsid w:val="2D4D76CF"/>
    <w:rsid w:val="2D532215"/>
    <w:rsid w:val="2D554698"/>
    <w:rsid w:val="2D695027"/>
    <w:rsid w:val="2D6B747C"/>
    <w:rsid w:val="2D702429"/>
    <w:rsid w:val="2D7601CB"/>
    <w:rsid w:val="2D8306AE"/>
    <w:rsid w:val="2D94286A"/>
    <w:rsid w:val="2DC05A6B"/>
    <w:rsid w:val="2DD512C2"/>
    <w:rsid w:val="2DDC05B2"/>
    <w:rsid w:val="2DDC6D0B"/>
    <w:rsid w:val="2DF252AF"/>
    <w:rsid w:val="2DFD4C06"/>
    <w:rsid w:val="2E0957F8"/>
    <w:rsid w:val="2E232369"/>
    <w:rsid w:val="2E2E65FD"/>
    <w:rsid w:val="2E926158"/>
    <w:rsid w:val="2E937C06"/>
    <w:rsid w:val="2E973EBF"/>
    <w:rsid w:val="2E9765D6"/>
    <w:rsid w:val="2EA97629"/>
    <w:rsid w:val="2EBF49AB"/>
    <w:rsid w:val="2EC83881"/>
    <w:rsid w:val="2ED154CD"/>
    <w:rsid w:val="2EDC51BB"/>
    <w:rsid w:val="2F1665A3"/>
    <w:rsid w:val="2F1F7A9F"/>
    <w:rsid w:val="2F2D2532"/>
    <w:rsid w:val="2F337A93"/>
    <w:rsid w:val="2F3673E5"/>
    <w:rsid w:val="2F475866"/>
    <w:rsid w:val="2F724A35"/>
    <w:rsid w:val="2F755AF2"/>
    <w:rsid w:val="2F771285"/>
    <w:rsid w:val="2F98186E"/>
    <w:rsid w:val="2F9F5EB4"/>
    <w:rsid w:val="2FA04FE8"/>
    <w:rsid w:val="2FA174B6"/>
    <w:rsid w:val="2FB260F0"/>
    <w:rsid w:val="2FCF68C1"/>
    <w:rsid w:val="2FD55800"/>
    <w:rsid w:val="2FE73E58"/>
    <w:rsid w:val="2FF13E89"/>
    <w:rsid w:val="2FFE2678"/>
    <w:rsid w:val="30003590"/>
    <w:rsid w:val="300236E6"/>
    <w:rsid w:val="30111DD4"/>
    <w:rsid w:val="302239CE"/>
    <w:rsid w:val="30367117"/>
    <w:rsid w:val="303671A7"/>
    <w:rsid w:val="30390163"/>
    <w:rsid w:val="30413425"/>
    <w:rsid w:val="305B05CD"/>
    <w:rsid w:val="30635F78"/>
    <w:rsid w:val="3065239B"/>
    <w:rsid w:val="3072555E"/>
    <w:rsid w:val="30732800"/>
    <w:rsid w:val="3073794F"/>
    <w:rsid w:val="30821E50"/>
    <w:rsid w:val="30866529"/>
    <w:rsid w:val="3088244F"/>
    <w:rsid w:val="30962DE9"/>
    <w:rsid w:val="30976EDA"/>
    <w:rsid w:val="309A52CE"/>
    <w:rsid w:val="30A133C4"/>
    <w:rsid w:val="30C26528"/>
    <w:rsid w:val="30D15F2F"/>
    <w:rsid w:val="30E23993"/>
    <w:rsid w:val="30EA1619"/>
    <w:rsid w:val="30F21EC2"/>
    <w:rsid w:val="30F569CA"/>
    <w:rsid w:val="3100363B"/>
    <w:rsid w:val="31053B2F"/>
    <w:rsid w:val="31057614"/>
    <w:rsid w:val="31167327"/>
    <w:rsid w:val="31192243"/>
    <w:rsid w:val="311A1CC2"/>
    <w:rsid w:val="311F102D"/>
    <w:rsid w:val="312A227A"/>
    <w:rsid w:val="3131315D"/>
    <w:rsid w:val="31445907"/>
    <w:rsid w:val="314A03E9"/>
    <w:rsid w:val="31570C94"/>
    <w:rsid w:val="3179587E"/>
    <w:rsid w:val="31A41298"/>
    <w:rsid w:val="31A946B2"/>
    <w:rsid w:val="31B02258"/>
    <w:rsid w:val="31B20D08"/>
    <w:rsid w:val="31B853CD"/>
    <w:rsid w:val="31B96599"/>
    <w:rsid w:val="31D61AB7"/>
    <w:rsid w:val="31D7186E"/>
    <w:rsid w:val="31DA033F"/>
    <w:rsid w:val="31ED0A4F"/>
    <w:rsid w:val="31ED0ECD"/>
    <w:rsid w:val="31EF4D0B"/>
    <w:rsid w:val="31F0401C"/>
    <w:rsid w:val="3206099F"/>
    <w:rsid w:val="320A3CD6"/>
    <w:rsid w:val="32151BD2"/>
    <w:rsid w:val="322C289F"/>
    <w:rsid w:val="32342F8D"/>
    <w:rsid w:val="323A13F3"/>
    <w:rsid w:val="326F6EE1"/>
    <w:rsid w:val="32725723"/>
    <w:rsid w:val="3274565E"/>
    <w:rsid w:val="32762847"/>
    <w:rsid w:val="32994FF6"/>
    <w:rsid w:val="32A449EE"/>
    <w:rsid w:val="32A806BB"/>
    <w:rsid w:val="32AB1A5E"/>
    <w:rsid w:val="32B57931"/>
    <w:rsid w:val="32BE6E45"/>
    <w:rsid w:val="32C7795F"/>
    <w:rsid w:val="32CA65EA"/>
    <w:rsid w:val="32ED0F91"/>
    <w:rsid w:val="32FD781B"/>
    <w:rsid w:val="33150925"/>
    <w:rsid w:val="33163A60"/>
    <w:rsid w:val="33292540"/>
    <w:rsid w:val="332F4C50"/>
    <w:rsid w:val="33504ECF"/>
    <w:rsid w:val="33514181"/>
    <w:rsid w:val="337956CC"/>
    <w:rsid w:val="33861FD3"/>
    <w:rsid w:val="338969C2"/>
    <w:rsid w:val="339B66AE"/>
    <w:rsid w:val="339C74D6"/>
    <w:rsid w:val="339D06FD"/>
    <w:rsid w:val="33A13B25"/>
    <w:rsid w:val="33A2766F"/>
    <w:rsid w:val="33AC0FD9"/>
    <w:rsid w:val="33B67A02"/>
    <w:rsid w:val="33B80DF7"/>
    <w:rsid w:val="33B95627"/>
    <w:rsid w:val="33C15920"/>
    <w:rsid w:val="33DA52AA"/>
    <w:rsid w:val="33F1604E"/>
    <w:rsid w:val="33FB5CCF"/>
    <w:rsid w:val="340C22B4"/>
    <w:rsid w:val="3413454E"/>
    <w:rsid w:val="341A0C6F"/>
    <w:rsid w:val="341C0A49"/>
    <w:rsid w:val="34267912"/>
    <w:rsid w:val="343934E1"/>
    <w:rsid w:val="34534723"/>
    <w:rsid w:val="346C68A5"/>
    <w:rsid w:val="3470682B"/>
    <w:rsid w:val="34790CCA"/>
    <w:rsid w:val="348952BF"/>
    <w:rsid w:val="34A73578"/>
    <w:rsid w:val="34AB5458"/>
    <w:rsid w:val="34B04F4C"/>
    <w:rsid w:val="34E92AFD"/>
    <w:rsid w:val="34EB7065"/>
    <w:rsid w:val="34F17CA1"/>
    <w:rsid w:val="34F52F29"/>
    <w:rsid w:val="34F86207"/>
    <w:rsid w:val="34F95D37"/>
    <w:rsid w:val="3513425F"/>
    <w:rsid w:val="351E178A"/>
    <w:rsid w:val="35313DA5"/>
    <w:rsid w:val="35740BA3"/>
    <w:rsid w:val="3575427D"/>
    <w:rsid w:val="357D620E"/>
    <w:rsid w:val="35973D64"/>
    <w:rsid w:val="35A30E70"/>
    <w:rsid w:val="35B0624B"/>
    <w:rsid w:val="35BC19D8"/>
    <w:rsid w:val="35C64333"/>
    <w:rsid w:val="35FB0395"/>
    <w:rsid w:val="360341FA"/>
    <w:rsid w:val="360E7ACB"/>
    <w:rsid w:val="36201794"/>
    <w:rsid w:val="36262AB3"/>
    <w:rsid w:val="363532B2"/>
    <w:rsid w:val="364047E8"/>
    <w:rsid w:val="36491563"/>
    <w:rsid w:val="364A5B3A"/>
    <w:rsid w:val="364C3ED2"/>
    <w:rsid w:val="36647138"/>
    <w:rsid w:val="367123C1"/>
    <w:rsid w:val="36772585"/>
    <w:rsid w:val="368C73D6"/>
    <w:rsid w:val="369119F4"/>
    <w:rsid w:val="36AA26BD"/>
    <w:rsid w:val="36B11D7C"/>
    <w:rsid w:val="36B84DAC"/>
    <w:rsid w:val="36C256A4"/>
    <w:rsid w:val="36C54815"/>
    <w:rsid w:val="36D575BC"/>
    <w:rsid w:val="36D70C5A"/>
    <w:rsid w:val="36F54DF0"/>
    <w:rsid w:val="36F72D06"/>
    <w:rsid w:val="36F87D45"/>
    <w:rsid w:val="370C2BF4"/>
    <w:rsid w:val="3718542D"/>
    <w:rsid w:val="37235772"/>
    <w:rsid w:val="372A0DB7"/>
    <w:rsid w:val="37460091"/>
    <w:rsid w:val="3748598F"/>
    <w:rsid w:val="37541F08"/>
    <w:rsid w:val="37557EBA"/>
    <w:rsid w:val="37625F78"/>
    <w:rsid w:val="37647A50"/>
    <w:rsid w:val="376B3D41"/>
    <w:rsid w:val="376B49D0"/>
    <w:rsid w:val="37740A36"/>
    <w:rsid w:val="37963C2C"/>
    <w:rsid w:val="37964A08"/>
    <w:rsid w:val="37AF5926"/>
    <w:rsid w:val="37BA44AF"/>
    <w:rsid w:val="37BB0116"/>
    <w:rsid w:val="37BC6F41"/>
    <w:rsid w:val="37BE7D11"/>
    <w:rsid w:val="37C32ECE"/>
    <w:rsid w:val="37CC1FBA"/>
    <w:rsid w:val="37DB5E7A"/>
    <w:rsid w:val="37EB7779"/>
    <w:rsid w:val="37FA3275"/>
    <w:rsid w:val="37FB3BA1"/>
    <w:rsid w:val="3800132D"/>
    <w:rsid w:val="38015E0E"/>
    <w:rsid w:val="3802598B"/>
    <w:rsid w:val="38212AAD"/>
    <w:rsid w:val="38261009"/>
    <w:rsid w:val="382828DC"/>
    <w:rsid w:val="382A5989"/>
    <w:rsid w:val="38306758"/>
    <w:rsid w:val="383524E5"/>
    <w:rsid w:val="385E3406"/>
    <w:rsid w:val="3864617C"/>
    <w:rsid w:val="386707D4"/>
    <w:rsid w:val="38737C30"/>
    <w:rsid w:val="387C31BD"/>
    <w:rsid w:val="38870DB3"/>
    <w:rsid w:val="38906894"/>
    <w:rsid w:val="38994CDD"/>
    <w:rsid w:val="389B2CDD"/>
    <w:rsid w:val="38A2751E"/>
    <w:rsid w:val="38BA3AC5"/>
    <w:rsid w:val="38C01F7A"/>
    <w:rsid w:val="38C61EF6"/>
    <w:rsid w:val="38E55B33"/>
    <w:rsid w:val="390F6BA4"/>
    <w:rsid w:val="394413AD"/>
    <w:rsid w:val="39462CB6"/>
    <w:rsid w:val="395C2E9E"/>
    <w:rsid w:val="396248CD"/>
    <w:rsid w:val="396654D3"/>
    <w:rsid w:val="396C0F61"/>
    <w:rsid w:val="39747AED"/>
    <w:rsid w:val="397B37C5"/>
    <w:rsid w:val="3981585B"/>
    <w:rsid w:val="3986039E"/>
    <w:rsid w:val="39BA14DE"/>
    <w:rsid w:val="39C47BCF"/>
    <w:rsid w:val="39C641E1"/>
    <w:rsid w:val="39C8697D"/>
    <w:rsid w:val="39CB5675"/>
    <w:rsid w:val="39DF3080"/>
    <w:rsid w:val="39FD74B3"/>
    <w:rsid w:val="3A24626F"/>
    <w:rsid w:val="3A3827CF"/>
    <w:rsid w:val="3A3E6852"/>
    <w:rsid w:val="3A524661"/>
    <w:rsid w:val="3A530A37"/>
    <w:rsid w:val="3A552CB7"/>
    <w:rsid w:val="3A63525C"/>
    <w:rsid w:val="3A68108A"/>
    <w:rsid w:val="3A6C4069"/>
    <w:rsid w:val="3A756407"/>
    <w:rsid w:val="3A7A273F"/>
    <w:rsid w:val="3A9170C0"/>
    <w:rsid w:val="3A9E1503"/>
    <w:rsid w:val="3AA75D03"/>
    <w:rsid w:val="3AA76C3A"/>
    <w:rsid w:val="3AA9101D"/>
    <w:rsid w:val="3AB25E15"/>
    <w:rsid w:val="3AC621D9"/>
    <w:rsid w:val="3AF76F2D"/>
    <w:rsid w:val="3B0B3BE4"/>
    <w:rsid w:val="3B0B6668"/>
    <w:rsid w:val="3B1D434E"/>
    <w:rsid w:val="3B251888"/>
    <w:rsid w:val="3B2C04A1"/>
    <w:rsid w:val="3B3D4D3B"/>
    <w:rsid w:val="3B4E3ED9"/>
    <w:rsid w:val="3B865A8D"/>
    <w:rsid w:val="3B871468"/>
    <w:rsid w:val="3B8E2D03"/>
    <w:rsid w:val="3B900B20"/>
    <w:rsid w:val="3B9C12B3"/>
    <w:rsid w:val="3BAD67F8"/>
    <w:rsid w:val="3BAE0D1B"/>
    <w:rsid w:val="3BCF77AB"/>
    <w:rsid w:val="3BE8253D"/>
    <w:rsid w:val="3BE9464B"/>
    <w:rsid w:val="3BED4B09"/>
    <w:rsid w:val="3BF1338D"/>
    <w:rsid w:val="3BF877CD"/>
    <w:rsid w:val="3BF96CE8"/>
    <w:rsid w:val="3C035B31"/>
    <w:rsid w:val="3C0759D2"/>
    <w:rsid w:val="3C194C34"/>
    <w:rsid w:val="3C2C73D3"/>
    <w:rsid w:val="3C3000DA"/>
    <w:rsid w:val="3C320A31"/>
    <w:rsid w:val="3C3C5E1A"/>
    <w:rsid w:val="3C4019D5"/>
    <w:rsid w:val="3C40208C"/>
    <w:rsid w:val="3C415DA9"/>
    <w:rsid w:val="3C573C6A"/>
    <w:rsid w:val="3C5B5A8E"/>
    <w:rsid w:val="3C6A517F"/>
    <w:rsid w:val="3C836AF7"/>
    <w:rsid w:val="3C936919"/>
    <w:rsid w:val="3C9E1DAC"/>
    <w:rsid w:val="3CA35327"/>
    <w:rsid w:val="3CAC54ED"/>
    <w:rsid w:val="3CB1157B"/>
    <w:rsid w:val="3CBC1963"/>
    <w:rsid w:val="3CCD445B"/>
    <w:rsid w:val="3CDF7858"/>
    <w:rsid w:val="3CEF53CA"/>
    <w:rsid w:val="3D0238DF"/>
    <w:rsid w:val="3D0F6B0F"/>
    <w:rsid w:val="3D110018"/>
    <w:rsid w:val="3D113EFB"/>
    <w:rsid w:val="3D13234B"/>
    <w:rsid w:val="3D1D07CC"/>
    <w:rsid w:val="3D2C6B87"/>
    <w:rsid w:val="3D314191"/>
    <w:rsid w:val="3D581568"/>
    <w:rsid w:val="3D5D6575"/>
    <w:rsid w:val="3D633970"/>
    <w:rsid w:val="3D661FF2"/>
    <w:rsid w:val="3D702F48"/>
    <w:rsid w:val="3DBF5D99"/>
    <w:rsid w:val="3DC35A4B"/>
    <w:rsid w:val="3DC84BC0"/>
    <w:rsid w:val="3DF76428"/>
    <w:rsid w:val="3DFB491B"/>
    <w:rsid w:val="3E0E0BD2"/>
    <w:rsid w:val="3E1C6372"/>
    <w:rsid w:val="3E2109EC"/>
    <w:rsid w:val="3E2D4DBF"/>
    <w:rsid w:val="3E4020A3"/>
    <w:rsid w:val="3E4A5588"/>
    <w:rsid w:val="3E547B0F"/>
    <w:rsid w:val="3E67505B"/>
    <w:rsid w:val="3ECD1127"/>
    <w:rsid w:val="3ED43064"/>
    <w:rsid w:val="3ED6653D"/>
    <w:rsid w:val="3EE85695"/>
    <w:rsid w:val="3EEF6ED9"/>
    <w:rsid w:val="3EF211B4"/>
    <w:rsid w:val="3EF7783A"/>
    <w:rsid w:val="3F006496"/>
    <w:rsid w:val="3F117B64"/>
    <w:rsid w:val="3F154458"/>
    <w:rsid w:val="3F1627FE"/>
    <w:rsid w:val="3F2059B7"/>
    <w:rsid w:val="3F206DE6"/>
    <w:rsid w:val="3F294FA8"/>
    <w:rsid w:val="3F5B0EAC"/>
    <w:rsid w:val="3F5C2F41"/>
    <w:rsid w:val="3F6504D8"/>
    <w:rsid w:val="3F84338B"/>
    <w:rsid w:val="3F8552F8"/>
    <w:rsid w:val="3F8B2C51"/>
    <w:rsid w:val="3F983416"/>
    <w:rsid w:val="3FB10C0A"/>
    <w:rsid w:val="3FC23320"/>
    <w:rsid w:val="3FCE00A1"/>
    <w:rsid w:val="3FDF0E58"/>
    <w:rsid w:val="3FE454C2"/>
    <w:rsid w:val="40206459"/>
    <w:rsid w:val="40262672"/>
    <w:rsid w:val="403130E9"/>
    <w:rsid w:val="403D74C5"/>
    <w:rsid w:val="40546BE3"/>
    <w:rsid w:val="4061528C"/>
    <w:rsid w:val="4062615C"/>
    <w:rsid w:val="406D4BB3"/>
    <w:rsid w:val="40757DEA"/>
    <w:rsid w:val="407E2C1F"/>
    <w:rsid w:val="408F4E3C"/>
    <w:rsid w:val="40997075"/>
    <w:rsid w:val="40AC1BBA"/>
    <w:rsid w:val="40B67FD2"/>
    <w:rsid w:val="40C6168D"/>
    <w:rsid w:val="40CA4B93"/>
    <w:rsid w:val="40E21221"/>
    <w:rsid w:val="40EC2863"/>
    <w:rsid w:val="40FD6D7C"/>
    <w:rsid w:val="41016A0E"/>
    <w:rsid w:val="410473FB"/>
    <w:rsid w:val="411735A0"/>
    <w:rsid w:val="412D4175"/>
    <w:rsid w:val="412F0AC5"/>
    <w:rsid w:val="41360870"/>
    <w:rsid w:val="41497AAE"/>
    <w:rsid w:val="414D1D75"/>
    <w:rsid w:val="417163CB"/>
    <w:rsid w:val="417D7CE3"/>
    <w:rsid w:val="41800837"/>
    <w:rsid w:val="418500FC"/>
    <w:rsid w:val="41866187"/>
    <w:rsid w:val="41877FA0"/>
    <w:rsid w:val="418D2525"/>
    <w:rsid w:val="418E250C"/>
    <w:rsid w:val="4195281B"/>
    <w:rsid w:val="419A6335"/>
    <w:rsid w:val="41A141E1"/>
    <w:rsid w:val="41A64D05"/>
    <w:rsid w:val="41CB10E7"/>
    <w:rsid w:val="41D139B9"/>
    <w:rsid w:val="41D31B4F"/>
    <w:rsid w:val="41D536C0"/>
    <w:rsid w:val="41DD6C93"/>
    <w:rsid w:val="41E60D58"/>
    <w:rsid w:val="41F863CF"/>
    <w:rsid w:val="421266E0"/>
    <w:rsid w:val="42227DA4"/>
    <w:rsid w:val="42331B08"/>
    <w:rsid w:val="42342739"/>
    <w:rsid w:val="42462C8C"/>
    <w:rsid w:val="424C654E"/>
    <w:rsid w:val="42564D8A"/>
    <w:rsid w:val="425B7885"/>
    <w:rsid w:val="425E5EB9"/>
    <w:rsid w:val="42603482"/>
    <w:rsid w:val="426C70DC"/>
    <w:rsid w:val="42967179"/>
    <w:rsid w:val="42BB6669"/>
    <w:rsid w:val="42C87AF1"/>
    <w:rsid w:val="42CE7613"/>
    <w:rsid w:val="42F37EDE"/>
    <w:rsid w:val="43024E1B"/>
    <w:rsid w:val="430E5F80"/>
    <w:rsid w:val="431A259F"/>
    <w:rsid w:val="431C58EF"/>
    <w:rsid w:val="4334326D"/>
    <w:rsid w:val="434F43D8"/>
    <w:rsid w:val="435F7CA1"/>
    <w:rsid w:val="436B4948"/>
    <w:rsid w:val="43710EC9"/>
    <w:rsid w:val="43726976"/>
    <w:rsid w:val="438141D1"/>
    <w:rsid w:val="43932661"/>
    <w:rsid w:val="43942B04"/>
    <w:rsid w:val="43C125BC"/>
    <w:rsid w:val="43C67052"/>
    <w:rsid w:val="43D36B70"/>
    <w:rsid w:val="43DE25E7"/>
    <w:rsid w:val="43F42D9F"/>
    <w:rsid w:val="44017F93"/>
    <w:rsid w:val="44096D17"/>
    <w:rsid w:val="44100F74"/>
    <w:rsid w:val="4411761E"/>
    <w:rsid w:val="44190E83"/>
    <w:rsid w:val="441E43F3"/>
    <w:rsid w:val="4426421D"/>
    <w:rsid w:val="4428448A"/>
    <w:rsid w:val="442874CF"/>
    <w:rsid w:val="443F5556"/>
    <w:rsid w:val="444930FE"/>
    <w:rsid w:val="448D51FD"/>
    <w:rsid w:val="449B09BB"/>
    <w:rsid w:val="44AF630B"/>
    <w:rsid w:val="44B152DD"/>
    <w:rsid w:val="44C67B96"/>
    <w:rsid w:val="44C873F5"/>
    <w:rsid w:val="44D433A6"/>
    <w:rsid w:val="44DA4AF9"/>
    <w:rsid w:val="44E121F0"/>
    <w:rsid w:val="44F75FAA"/>
    <w:rsid w:val="450A228B"/>
    <w:rsid w:val="45142AAB"/>
    <w:rsid w:val="45157BAE"/>
    <w:rsid w:val="452A2D80"/>
    <w:rsid w:val="453A43F2"/>
    <w:rsid w:val="453D198E"/>
    <w:rsid w:val="453F52F7"/>
    <w:rsid w:val="454C69F0"/>
    <w:rsid w:val="454E3E50"/>
    <w:rsid w:val="45542F0E"/>
    <w:rsid w:val="45544BDA"/>
    <w:rsid w:val="45894A0B"/>
    <w:rsid w:val="459F6F23"/>
    <w:rsid w:val="45A43103"/>
    <w:rsid w:val="45C43971"/>
    <w:rsid w:val="45E860D9"/>
    <w:rsid w:val="45F41523"/>
    <w:rsid w:val="45F57ED2"/>
    <w:rsid w:val="460304D5"/>
    <w:rsid w:val="461765F6"/>
    <w:rsid w:val="46360C01"/>
    <w:rsid w:val="463D59FC"/>
    <w:rsid w:val="464874CF"/>
    <w:rsid w:val="464F0C8D"/>
    <w:rsid w:val="46675BF3"/>
    <w:rsid w:val="466C3930"/>
    <w:rsid w:val="46792E96"/>
    <w:rsid w:val="467C298C"/>
    <w:rsid w:val="46827A60"/>
    <w:rsid w:val="468A7BF2"/>
    <w:rsid w:val="469808B6"/>
    <w:rsid w:val="469B21FB"/>
    <w:rsid w:val="46C11088"/>
    <w:rsid w:val="46C55C0B"/>
    <w:rsid w:val="46D6386B"/>
    <w:rsid w:val="46DD1016"/>
    <w:rsid w:val="46EE5924"/>
    <w:rsid w:val="47012818"/>
    <w:rsid w:val="470413D6"/>
    <w:rsid w:val="470A6F54"/>
    <w:rsid w:val="471024F7"/>
    <w:rsid w:val="472F05FE"/>
    <w:rsid w:val="473148BE"/>
    <w:rsid w:val="47323D52"/>
    <w:rsid w:val="47372F8A"/>
    <w:rsid w:val="47403C56"/>
    <w:rsid w:val="47433AFD"/>
    <w:rsid w:val="47435D58"/>
    <w:rsid w:val="47460B02"/>
    <w:rsid w:val="474E5763"/>
    <w:rsid w:val="47530644"/>
    <w:rsid w:val="47542B71"/>
    <w:rsid w:val="476E47D7"/>
    <w:rsid w:val="477A0962"/>
    <w:rsid w:val="477E3459"/>
    <w:rsid w:val="478D2DC2"/>
    <w:rsid w:val="4792442F"/>
    <w:rsid w:val="47935883"/>
    <w:rsid w:val="47A37D7F"/>
    <w:rsid w:val="47A5782C"/>
    <w:rsid w:val="47AE1D91"/>
    <w:rsid w:val="47CF075C"/>
    <w:rsid w:val="47D72CB2"/>
    <w:rsid w:val="47D74CC9"/>
    <w:rsid w:val="47D9498B"/>
    <w:rsid w:val="47E14A6E"/>
    <w:rsid w:val="47E677AB"/>
    <w:rsid w:val="48006010"/>
    <w:rsid w:val="4807375A"/>
    <w:rsid w:val="480A7DD2"/>
    <w:rsid w:val="48262253"/>
    <w:rsid w:val="483C00A6"/>
    <w:rsid w:val="484175A6"/>
    <w:rsid w:val="48570C24"/>
    <w:rsid w:val="485A2424"/>
    <w:rsid w:val="48655D08"/>
    <w:rsid w:val="486560EE"/>
    <w:rsid w:val="4868544F"/>
    <w:rsid w:val="486D4673"/>
    <w:rsid w:val="48763F4D"/>
    <w:rsid w:val="48827883"/>
    <w:rsid w:val="48881D3D"/>
    <w:rsid w:val="48896A11"/>
    <w:rsid w:val="48BA700A"/>
    <w:rsid w:val="48BD349B"/>
    <w:rsid w:val="48D26B5A"/>
    <w:rsid w:val="48DE6C40"/>
    <w:rsid w:val="48ED0C77"/>
    <w:rsid w:val="48F14900"/>
    <w:rsid w:val="490A4DD4"/>
    <w:rsid w:val="490C2649"/>
    <w:rsid w:val="490E7A14"/>
    <w:rsid w:val="49212131"/>
    <w:rsid w:val="49363FC6"/>
    <w:rsid w:val="49364AF0"/>
    <w:rsid w:val="493D18CA"/>
    <w:rsid w:val="493E3A8C"/>
    <w:rsid w:val="49405EE1"/>
    <w:rsid w:val="495058B5"/>
    <w:rsid w:val="49540DD4"/>
    <w:rsid w:val="4962186E"/>
    <w:rsid w:val="496F7D63"/>
    <w:rsid w:val="4983176D"/>
    <w:rsid w:val="49904A43"/>
    <w:rsid w:val="49B43312"/>
    <w:rsid w:val="49BF72F6"/>
    <w:rsid w:val="49C10DA1"/>
    <w:rsid w:val="49CB0BA0"/>
    <w:rsid w:val="49E458A4"/>
    <w:rsid w:val="49FB7D0F"/>
    <w:rsid w:val="49FC547D"/>
    <w:rsid w:val="4A35026F"/>
    <w:rsid w:val="4A4831FA"/>
    <w:rsid w:val="4A506E19"/>
    <w:rsid w:val="4A7964E4"/>
    <w:rsid w:val="4A817115"/>
    <w:rsid w:val="4A820EF8"/>
    <w:rsid w:val="4A8423CD"/>
    <w:rsid w:val="4A8502A5"/>
    <w:rsid w:val="4A9B2D6E"/>
    <w:rsid w:val="4A9C7B57"/>
    <w:rsid w:val="4AB43F84"/>
    <w:rsid w:val="4ABD4D99"/>
    <w:rsid w:val="4AC32644"/>
    <w:rsid w:val="4AC92251"/>
    <w:rsid w:val="4AC94EFC"/>
    <w:rsid w:val="4ACA19E0"/>
    <w:rsid w:val="4ACB4CAD"/>
    <w:rsid w:val="4ACD5448"/>
    <w:rsid w:val="4AD15B6E"/>
    <w:rsid w:val="4AD2613C"/>
    <w:rsid w:val="4AE03564"/>
    <w:rsid w:val="4AE23808"/>
    <w:rsid w:val="4AE643CF"/>
    <w:rsid w:val="4AE9719B"/>
    <w:rsid w:val="4AF120AA"/>
    <w:rsid w:val="4AF7189E"/>
    <w:rsid w:val="4B033849"/>
    <w:rsid w:val="4B0421A7"/>
    <w:rsid w:val="4B0575BD"/>
    <w:rsid w:val="4B116D85"/>
    <w:rsid w:val="4B186A38"/>
    <w:rsid w:val="4B203499"/>
    <w:rsid w:val="4B213E5B"/>
    <w:rsid w:val="4B386E2C"/>
    <w:rsid w:val="4B3D17D2"/>
    <w:rsid w:val="4B3E43C0"/>
    <w:rsid w:val="4B3E55C3"/>
    <w:rsid w:val="4B7F4034"/>
    <w:rsid w:val="4B9F019E"/>
    <w:rsid w:val="4BAE5BEF"/>
    <w:rsid w:val="4BB013A5"/>
    <w:rsid w:val="4BC63A01"/>
    <w:rsid w:val="4BCB6461"/>
    <w:rsid w:val="4BCD1847"/>
    <w:rsid w:val="4BD64A86"/>
    <w:rsid w:val="4BD67B81"/>
    <w:rsid w:val="4BFA132B"/>
    <w:rsid w:val="4C054B45"/>
    <w:rsid w:val="4C114688"/>
    <w:rsid w:val="4C1E25F9"/>
    <w:rsid w:val="4C4222CE"/>
    <w:rsid w:val="4C470437"/>
    <w:rsid w:val="4C4E5A0F"/>
    <w:rsid w:val="4C6A77C2"/>
    <w:rsid w:val="4C737798"/>
    <w:rsid w:val="4C7866AB"/>
    <w:rsid w:val="4C927CCE"/>
    <w:rsid w:val="4CA226A7"/>
    <w:rsid w:val="4CA3270F"/>
    <w:rsid w:val="4CB05275"/>
    <w:rsid w:val="4CBB737A"/>
    <w:rsid w:val="4CC029F7"/>
    <w:rsid w:val="4CCC51D6"/>
    <w:rsid w:val="4CD3028E"/>
    <w:rsid w:val="4CD90C9B"/>
    <w:rsid w:val="4D1B71E4"/>
    <w:rsid w:val="4D1E23A3"/>
    <w:rsid w:val="4D232B5B"/>
    <w:rsid w:val="4D4B31E8"/>
    <w:rsid w:val="4D725D9F"/>
    <w:rsid w:val="4D775D7E"/>
    <w:rsid w:val="4D792B0B"/>
    <w:rsid w:val="4D7B0B41"/>
    <w:rsid w:val="4DB0021A"/>
    <w:rsid w:val="4DB07D00"/>
    <w:rsid w:val="4DC659E7"/>
    <w:rsid w:val="4DEF19EA"/>
    <w:rsid w:val="4DF309B1"/>
    <w:rsid w:val="4E045FF4"/>
    <w:rsid w:val="4E0B02D7"/>
    <w:rsid w:val="4E1573DF"/>
    <w:rsid w:val="4E182BAF"/>
    <w:rsid w:val="4E1A6497"/>
    <w:rsid w:val="4E1E6AA6"/>
    <w:rsid w:val="4E390C9A"/>
    <w:rsid w:val="4E4C631D"/>
    <w:rsid w:val="4E571FB5"/>
    <w:rsid w:val="4E796D0B"/>
    <w:rsid w:val="4E7E0ABF"/>
    <w:rsid w:val="4E832097"/>
    <w:rsid w:val="4E854672"/>
    <w:rsid w:val="4E8E0C32"/>
    <w:rsid w:val="4E9B4C01"/>
    <w:rsid w:val="4E9C0997"/>
    <w:rsid w:val="4EB15AF0"/>
    <w:rsid w:val="4EBB34A7"/>
    <w:rsid w:val="4ECD0D4E"/>
    <w:rsid w:val="4ED25F30"/>
    <w:rsid w:val="4EEB1A8E"/>
    <w:rsid w:val="4F015680"/>
    <w:rsid w:val="4F0713BA"/>
    <w:rsid w:val="4F3C0C3D"/>
    <w:rsid w:val="4F4508E3"/>
    <w:rsid w:val="4F4B7673"/>
    <w:rsid w:val="4F8E0276"/>
    <w:rsid w:val="4F916795"/>
    <w:rsid w:val="4F920B6D"/>
    <w:rsid w:val="4FB30230"/>
    <w:rsid w:val="4FB517D1"/>
    <w:rsid w:val="4FCE1F16"/>
    <w:rsid w:val="4FD731B2"/>
    <w:rsid w:val="4FD73EA7"/>
    <w:rsid w:val="4FDB2053"/>
    <w:rsid w:val="4FDB6D4E"/>
    <w:rsid w:val="4FE3604E"/>
    <w:rsid w:val="4FE874B7"/>
    <w:rsid w:val="4FEE4F37"/>
    <w:rsid w:val="4FF85B09"/>
    <w:rsid w:val="4FFE6835"/>
    <w:rsid w:val="50093DB5"/>
    <w:rsid w:val="501C2EC4"/>
    <w:rsid w:val="50200A50"/>
    <w:rsid w:val="50270315"/>
    <w:rsid w:val="502A3361"/>
    <w:rsid w:val="502E5FF9"/>
    <w:rsid w:val="503E02E8"/>
    <w:rsid w:val="504C4B10"/>
    <w:rsid w:val="50581ADE"/>
    <w:rsid w:val="506369DD"/>
    <w:rsid w:val="507120DA"/>
    <w:rsid w:val="50736833"/>
    <w:rsid w:val="508F47A8"/>
    <w:rsid w:val="509E634D"/>
    <w:rsid w:val="50BD5EAA"/>
    <w:rsid w:val="50BF5A5F"/>
    <w:rsid w:val="50C12337"/>
    <w:rsid w:val="50DB21D1"/>
    <w:rsid w:val="50E94BAE"/>
    <w:rsid w:val="50ED4403"/>
    <w:rsid w:val="50F27F12"/>
    <w:rsid w:val="50F30CFC"/>
    <w:rsid w:val="51016B54"/>
    <w:rsid w:val="51327700"/>
    <w:rsid w:val="51352030"/>
    <w:rsid w:val="513C01F9"/>
    <w:rsid w:val="513C51A7"/>
    <w:rsid w:val="5142162A"/>
    <w:rsid w:val="514807EA"/>
    <w:rsid w:val="514F3B31"/>
    <w:rsid w:val="51541B6D"/>
    <w:rsid w:val="516939C0"/>
    <w:rsid w:val="51710500"/>
    <w:rsid w:val="51751CA5"/>
    <w:rsid w:val="51952E66"/>
    <w:rsid w:val="519A0E0E"/>
    <w:rsid w:val="519E6E22"/>
    <w:rsid w:val="51B55197"/>
    <w:rsid w:val="51C1601A"/>
    <w:rsid w:val="51C44CA6"/>
    <w:rsid w:val="51C46270"/>
    <w:rsid w:val="51D31C11"/>
    <w:rsid w:val="51D438CD"/>
    <w:rsid w:val="51DF0BDF"/>
    <w:rsid w:val="51E262C6"/>
    <w:rsid w:val="51F16B78"/>
    <w:rsid w:val="51FB4680"/>
    <w:rsid w:val="52001F0C"/>
    <w:rsid w:val="5201350D"/>
    <w:rsid w:val="520B356B"/>
    <w:rsid w:val="521A4021"/>
    <w:rsid w:val="52366174"/>
    <w:rsid w:val="5244348D"/>
    <w:rsid w:val="524651D1"/>
    <w:rsid w:val="52511BB1"/>
    <w:rsid w:val="5251230B"/>
    <w:rsid w:val="525707B9"/>
    <w:rsid w:val="525F4831"/>
    <w:rsid w:val="528C390E"/>
    <w:rsid w:val="52C66714"/>
    <w:rsid w:val="52C76C9C"/>
    <w:rsid w:val="52CF692B"/>
    <w:rsid w:val="52E46132"/>
    <w:rsid w:val="52E80724"/>
    <w:rsid w:val="52F94660"/>
    <w:rsid w:val="52F97419"/>
    <w:rsid w:val="52FB11C0"/>
    <w:rsid w:val="530743AC"/>
    <w:rsid w:val="532A2426"/>
    <w:rsid w:val="532B4024"/>
    <w:rsid w:val="533857C9"/>
    <w:rsid w:val="534A75C5"/>
    <w:rsid w:val="53505F25"/>
    <w:rsid w:val="535E2824"/>
    <w:rsid w:val="537566D7"/>
    <w:rsid w:val="5393644D"/>
    <w:rsid w:val="53A212C8"/>
    <w:rsid w:val="53AB282A"/>
    <w:rsid w:val="53B12403"/>
    <w:rsid w:val="53DA28D0"/>
    <w:rsid w:val="53E41CB3"/>
    <w:rsid w:val="53EE59E6"/>
    <w:rsid w:val="53FE48E9"/>
    <w:rsid w:val="54425FE9"/>
    <w:rsid w:val="544D0B4C"/>
    <w:rsid w:val="54514932"/>
    <w:rsid w:val="54520D87"/>
    <w:rsid w:val="54624559"/>
    <w:rsid w:val="547324DB"/>
    <w:rsid w:val="548504EC"/>
    <w:rsid w:val="54862EF9"/>
    <w:rsid w:val="548749A6"/>
    <w:rsid w:val="548A6304"/>
    <w:rsid w:val="54911CDA"/>
    <w:rsid w:val="54971BC9"/>
    <w:rsid w:val="54A87233"/>
    <w:rsid w:val="54AE3095"/>
    <w:rsid w:val="54B34A6A"/>
    <w:rsid w:val="54B95053"/>
    <w:rsid w:val="54BD445D"/>
    <w:rsid w:val="54C42F3F"/>
    <w:rsid w:val="54CC4009"/>
    <w:rsid w:val="54CE19D3"/>
    <w:rsid w:val="54CE3C2E"/>
    <w:rsid w:val="54D97EB8"/>
    <w:rsid w:val="54EA44E2"/>
    <w:rsid w:val="55182C9F"/>
    <w:rsid w:val="55184DB9"/>
    <w:rsid w:val="55203EB3"/>
    <w:rsid w:val="55233034"/>
    <w:rsid w:val="55347509"/>
    <w:rsid w:val="553F2BB0"/>
    <w:rsid w:val="55577584"/>
    <w:rsid w:val="556B5714"/>
    <w:rsid w:val="55741BA8"/>
    <w:rsid w:val="55765670"/>
    <w:rsid w:val="557D46C5"/>
    <w:rsid w:val="558A0251"/>
    <w:rsid w:val="559C2172"/>
    <w:rsid w:val="559C68F6"/>
    <w:rsid w:val="55AC3BBC"/>
    <w:rsid w:val="55B002B7"/>
    <w:rsid w:val="55BD6292"/>
    <w:rsid w:val="55D14A57"/>
    <w:rsid w:val="55E67262"/>
    <w:rsid w:val="560824DB"/>
    <w:rsid w:val="560D1461"/>
    <w:rsid w:val="561E6F9F"/>
    <w:rsid w:val="564E3840"/>
    <w:rsid w:val="565A14AF"/>
    <w:rsid w:val="56784FE0"/>
    <w:rsid w:val="567B29BD"/>
    <w:rsid w:val="568D13EA"/>
    <w:rsid w:val="568D16A2"/>
    <w:rsid w:val="56966656"/>
    <w:rsid w:val="56B52E6F"/>
    <w:rsid w:val="56D73FFA"/>
    <w:rsid w:val="56EC362E"/>
    <w:rsid w:val="56EF4DAE"/>
    <w:rsid w:val="56F527AE"/>
    <w:rsid w:val="5709507E"/>
    <w:rsid w:val="57113944"/>
    <w:rsid w:val="571217E9"/>
    <w:rsid w:val="57193196"/>
    <w:rsid w:val="571D7719"/>
    <w:rsid w:val="5741424F"/>
    <w:rsid w:val="574967EF"/>
    <w:rsid w:val="57550D97"/>
    <w:rsid w:val="576928D7"/>
    <w:rsid w:val="57740C5F"/>
    <w:rsid w:val="57771239"/>
    <w:rsid w:val="57855962"/>
    <w:rsid w:val="578C1D53"/>
    <w:rsid w:val="57945FFD"/>
    <w:rsid w:val="579D5302"/>
    <w:rsid w:val="57A965DD"/>
    <w:rsid w:val="57B33934"/>
    <w:rsid w:val="57B91F7F"/>
    <w:rsid w:val="57C00FA1"/>
    <w:rsid w:val="57C64002"/>
    <w:rsid w:val="57D75C83"/>
    <w:rsid w:val="57DD275F"/>
    <w:rsid w:val="57E15B8E"/>
    <w:rsid w:val="57F40682"/>
    <w:rsid w:val="57F56620"/>
    <w:rsid w:val="58173790"/>
    <w:rsid w:val="58254AA6"/>
    <w:rsid w:val="582A7D1A"/>
    <w:rsid w:val="58352B95"/>
    <w:rsid w:val="583C68DA"/>
    <w:rsid w:val="584A04FC"/>
    <w:rsid w:val="586A2143"/>
    <w:rsid w:val="58765085"/>
    <w:rsid w:val="58846A8E"/>
    <w:rsid w:val="588B1B84"/>
    <w:rsid w:val="58B65C52"/>
    <w:rsid w:val="58B82BF7"/>
    <w:rsid w:val="58C51217"/>
    <w:rsid w:val="58CC0441"/>
    <w:rsid w:val="58E6575C"/>
    <w:rsid w:val="58ED25C8"/>
    <w:rsid w:val="58FF51F3"/>
    <w:rsid w:val="59040724"/>
    <w:rsid w:val="591A7A93"/>
    <w:rsid w:val="59283872"/>
    <w:rsid w:val="59285779"/>
    <w:rsid w:val="59362B0E"/>
    <w:rsid w:val="593F5A51"/>
    <w:rsid w:val="59402319"/>
    <w:rsid w:val="59612624"/>
    <w:rsid w:val="596873ED"/>
    <w:rsid w:val="596E61AC"/>
    <w:rsid w:val="598A739E"/>
    <w:rsid w:val="59961041"/>
    <w:rsid w:val="599C01B5"/>
    <w:rsid w:val="59B6531E"/>
    <w:rsid w:val="59C01E81"/>
    <w:rsid w:val="59C361CA"/>
    <w:rsid w:val="59D321E0"/>
    <w:rsid w:val="59DF5180"/>
    <w:rsid w:val="59E36658"/>
    <w:rsid w:val="59EF0E34"/>
    <w:rsid w:val="59F52033"/>
    <w:rsid w:val="59F52F22"/>
    <w:rsid w:val="5A0832DD"/>
    <w:rsid w:val="5A0B7BE6"/>
    <w:rsid w:val="5A251298"/>
    <w:rsid w:val="5A293843"/>
    <w:rsid w:val="5A330E9F"/>
    <w:rsid w:val="5A426BD0"/>
    <w:rsid w:val="5A546684"/>
    <w:rsid w:val="5A681EDD"/>
    <w:rsid w:val="5A681F29"/>
    <w:rsid w:val="5A6E7496"/>
    <w:rsid w:val="5A7F465F"/>
    <w:rsid w:val="5A8C7C35"/>
    <w:rsid w:val="5AA65AC4"/>
    <w:rsid w:val="5AA81948"/>
    <w:rsid w:val="5AB11B13"/>
    <w:rsid w:val="5AB73FF3"/>
    <w:rsid w:val="5ABD317C"/>
    <w:rsid w:val="5B04401D"/>
    <w:rsid w:val="5B1E62A2"/>
    <w:rsid w:val="5B297942"/>
    <w:rsid w:val="5B320153"/>
    <w:rsid w:val="5B361F1F"/>
    <w:rsid w:val="5B47589C"/>
    <w:rsid w:val="5B4C1FB5"/>
    <w:rsid w:val="5B5532B7"/>
    <w:rsid w:val="5B5A5DEF"/>
    <w:rsid w:val="5B5C39E7"/>
    <w:rsid w:val="5B625357"/>
    <w:rsid w:val="5B6E3E95"/>
    <w:rsid w:val="5B6E5DF8"/>
    <w:rsid w:val="5B74681D"/>
    <w:rsid w:val="5B7916BB"/>
    <w:rsid w:val="5B7C75CF"/>
    <w:rsid w:val="5B81700B"/>
    <w:rsid w:val="5B8273F1"/>
    <w:rsid w:val="5BA07F57"/>
    <w:rsid w:val="5BBB1BDB"/>
    <w:rsid w:val="5BC24937"/>
    <w:rsid w:val="5BC45887"/>
    <w:rsid w:val="5BE53E73"/>
    <w:rsid w:val="5BFA7CFF"/>
    <w:rsid w:val="5C024323"/>
    <w:rsid w:val="5C1563AC"/>
    <w:rsid w:val="5C194AA9"/>
    <w:rsid w:val="5C2F0101"/>
    <w:rsid w:val="5C3A164B"/>
    <w:rsid w:val="5C4D7A34"/>
    <w:rsid w:val="5C527D93"/>
    <w:rsid w:val="5C5C3F69"/>
    <w:rsid w:val="5C831677"/>
    <w:rsid w:val="5C8A5A9E"/>
    <w:rsid w:val="5C9D1699"/>
    <w:rsid w:val="5CA42101"/>
    <w:rsid w:val="5CA84197"/>
    <w:rsid w:val="5CB40674"/>
    <w:rsid w:val="5CC64636"/>
    <w:rsid w:val="5CC722DD"/>
    <w:rsid w:val="5CCE5033"/>
    <w:rsid w:val="5CD06415"/>
    <w:rsid w:val="5CDD5E4B"/>
    <w:rsid w:val="5CE867AC"/>
    <w:rsid w:val="5CF7392C"/>
    <w:rsid w:val="5D023E09"/>
    <w:rsid w:val="5D0F0B54"/>
    <w:rsid w:val="5D2F67FD"/>
    <w:rsid w:val="5D36262A"/>
    <w:rsid w:val="5D3E7735"/>
    <w:rsid w:val="5D407AA7"/>
    <w:rsid w:val="5D504EF6"/>
    <w:rsid w:val="5D515146"/>
    <w:rsid w:val="5D583BB0"/>
    <w:rsid w:val="5D6E2958"/>
    <w:rsid w:val="5D7402D6"/>
    <w:rsid w:val="5D7B17FB"/>
    <w:rsid w:val="5D7D206F"/>
    <w:rsid w:val="5D8D32FB"/>
    <w:rsid w:val="5D9933AE"/>
    <w:rsid w:val="5D9B1CAD"/>
    <w:rsid w:val="5DAB4F31"/>
    <w:rsid w:val="5DCA1554"/>
    <w:rsid w:val="5DD1187F"/>
    <w:rsid w:val="5DD81D39"/>
    <w:rsid w:val="5DE52316"/>
    <w:rsid w:val="5DE83430"/>
    <w:rsid w:val="5DEF6BE2"/>
    <w:rsid w:val="5DF034ED"/>
    <w:rsid w:val="5DF439AD"/>
    <w:rsid w:val="5DFF5D12"/>
    <w:rsid w:val="5E0315F2"/>
    <w:rsid w:val="5E04511D"/>
    <w:rsid w:val="5E3A03F1"/>
    <w:rsid w:val="5E3F4EE3"/>
    <w:rsid w:val="5E5C4E16"/>
    <w:rsid w:val="5E6E323B"/>
    <w:rsid w:val="5E8251CA"/>
    <w:rsid w:val="5E885F76"/>
    <w:rsid w:val="5E927AD5"/>
    <w:rsid w:val="5EA01948"/>
    <w:rsid w:val="5EA65130"/>
    <w:rsid w:val="5EBF3F02"/>
    <w:rsid w:val="5EC6695E"/>
    <w:rsid w:val="5EDA6991"/>
    <w:rsid w:val="5EE13B35"/>
    <w:rsid w:val="5F0351D2"/>
    <w:rsid w:val="5F056F01"/>
    <w:rsid w:val="5F061E16"/>
    <w:rsid w:val="5F183902"/>
    <w:rsid w:val="5F1D0ECE"/>
    <w:rsid w:val="5F416604"/>
    <w:rsid w:val="5F4D1815"/>
    <w:rsid w:val="5F5E5BB1"/>
    <w:rsid w:val="5F6756EA"/>
    <w:rsid w:val="5F85233A"/>
    <w:rsid w:val="5F8A1622"/>
    <w:rsid w:val="5F9619C7"/>
    <w:rsid w:val="5FA93C6F"/>
    <w:rsid w:val="5FAF669A"/>
    <w:rsid w:val="5FBE31E5"/>
    <w:rsid w:val="5FC04EDB"/>
    <w:rsid w:val="5FD522E4"/>
    <w:rsid w:val="5FD76619"/>
    <w:rsid w:val="5FF3193F"/>
    <w:rsid w:val="601569A6"/>
    <w:rsid w:val="605A5172"/>
    <w:rsid w:val="606A0FEF"/>
    <w:rsid w:val="606A4DFB"/>
    <w:rsid w:val="606A52D0"/>
    <w:rsid w:val="608D3F8E"/>
    <w:rsid w:val="60A70532"/>
    <w:rsid w:val="60A71ABD"/>
    <w:rsid w:val="60AE3316"/>
    <w:rsid w:val="60C23818"/>
    <w:rsid w:val="60D45E5B"/>
    <w:rsid w:val="60E378BD"/>
    <w:rsid w:val="60E60420"/>
    <w:rsid w:val="60EE0DD4"/>
    <w:rsid w:val="61133FE0"/>
    <w:rsid w:val="6117184F"/>
    <w:rsid w:val="61177CE5"/>
    <w:rsid w:val="613E4D9D"/>
    <w:rsid w:val="61472627"/>
    <w:rsid w:val="615A5C24"/>
    <w:rsid w:val="615F7DFF"/>
    <w:rsid w:val="61625027"/>
    <w:rsid w:val="61747C0D"/>
    <w:rsid w:val="617730F1"/>
    <w:rsid w:val="61776CC1"/>
    <w:rsid w:val="617F216D"/>
    <w:rsid w:val="617F7B0C"/>
    <w:rsid w:val="618C4963"/>
    <w:rsid w:val="619249EA"/>
    <w:rsid w:val="61974CDC"/>
    <w:rsid w:val="619961D3"/>
    <w:rsid w:val="61A12343"/>
    <w:rsid w:val="61A67A7F"/>
    <w:rsid w:val="61B22698"/>
    <w:rsid w:val="61D52254"/>
    <w:rsid w:val="61D65090"/>
    <w:rsid w:val="61DA0AC6"/>
    <w:rsid w:val="61E1485C"/>
    <w:rsid w:val="61E55E64"/>
    <w:rsid w:val="61ED1C32"/>
    <w:rsid w:val="61EE1AFA"/>
    <w:rsid w:val="61F139B7"/>
    <w:rsid w:val="61FD70DE"/>
    <w:rsid w:val="62115A65"/>
    <w:rsid w:val="6212159D"/>
    <w:rsid w:val="621A3173"/>
    <w:rsid w:val="62416C9D"/>
    <w:rsid w:val="625C381D"/>
    <w:rsid w:val="625C56A2"/>
    <w:rsid w:val="625E31B7"/>
    <w:rsid w:val="6266676C"/>
    <w:rsid w:val="62766F65"/>
    <w:rsid w:val="62A3718C"/>
    <w:rsid w:val="62A64E5C"/>
    <w:rsid w:val="62AF083A"/>
    <w:rsid w:val="62B00FC9"/>
    <w:rsid w:val="62BA7CE3"/>
    <w:rsid w:val="62D869C8"/>
    <w:rsid w:val="62DB22DB"/>
    <w:rsid w:val="630C3040"/>
    <w:rsid w:val="631E62E4"/>
    <w:rsid w:val="631F7392"/>
    <w:rsid w:val="63432A70"/>
    <w:rsid w:val="63493C52"/>
    <w:rsid w:val="63495DFA"/>
    <w:rsid w:val="63634E79"/>
    <w:rsid w:val="637067AD"/>
    <w:rsid w:val="63724674"/>
    <w:rsid w:val="6383684A"/>
    <w:rsid w:val="63875E63"/>
    <w:rsid w:val="63996DFE"/>
    <w:rsid w:val="639E380E"/>
    <w:rsid w:val="63A01868"/>
    <w:rsid w:val="63A44E20"/>
    <w:rsid w:val="63B4685E"/>
    <w:rsid w:val="63B94108"/>
    <w:rsid w:val="63BB790D"/>
    <w:rsid w:val="63BC1F26"/>
    <w:rsid w:val="63D32910"/>
    <w:rsid w:val="63D46107"/>
    <w:rsid w:val="63D60535"/>
    <w:rsid w:val="63F41022"/>
    <w:rsid w:val="63FE57FF"/>
    <w:rsid w:val="640F7360"/>
    <w:rsid w:val="64105A01"/>
    <w:rsid w:val="64114563"/>
    <w:rsid w:val="64145057"/>
    <w:rsid w:val="641F354E"/>
    <w:rsid w:val="64282145"/>
    <w:rsid w:val="644B6599"/>
    <w:rsid w:val="645029C6"/>
    <w:rsid w:val="64566976"/>
    <w:rsid w:val="645955AC"/>
    <w:rsid w:val="64767F3B"/>
    <w:rsid w:val="6478647E"/>
    <w:rsid w:val="647B7F21"/>
    <w:rsid w:val="648417BC"/>
    <w:rsid w:val="64873F08"/>
    <w:rsid w:val="649C387D"/>
    <w:rsid w:val="64A27D38"/>
    <w:rsid w:val="64B119D2"/>
    <w:rsid w:val="64C21C84"/>
    <w:rsid w:val="64D70BE6"/>
    <w:rsid w:val="64E335A5"/>
    <w:rsid w:val="64E45E9C"/>
    <w:rsid w:val="64EB4AC4"/>
    <w:rsid w:val="64F306DB"/>
    <w:rsid w:val="65056AEF"/>
    <w:rsid w:val="650E196C"/>
    <w:rsid w:val="6517463E"/>
    <w:rsid w:val="652533B9"/>
    <w:rsid w:val="653116EA"/>
    <w:rsid w:val="6532278D"/>
    <w:rsid w:val="656121D4"/>
    <w:rsid w:val="656219D0"/>
    <w:rsid w:val="656A7A3B"/>
    <w:rsid w:val="6574569A"/>
    <w:rsid w:val="6578677A"/>
    <w:rsid w:val="6592201A"/>
    <w:rsid w:val="65944FB0"/>
    <w:rsid w:val="65A638B5"/>
    <w:rsid w:val="65A76EAB"/>
    <w:rsid w:val="65B310BB"/>
    <w:rsid w:val="65C9231F"/>
    <w:rsid w:val="65D35849"/>
    <w:rsid w:val="65EF7274"/>
    <w:rsid w:val="66093DD9"/>
    <w:rsid w:val="660E758D"/>
    <w:rsid w:val="66132C22"/>
    <w:rsid w:val="661E1B91"/>
    <w:rsid w:val="6622048C"/>
    <w:rsid w:val="662634E5"/>
    <w:rsid w:val="662B6733"/>
    <w:rsid w:val="663459EB"/>
    <w:rsid w:val="66553B78"/>
    <w:rsid w:val="666578E3"/>
    <w:rsid w:val="66693002"/>
    <w:rsid w:val="666D15C3"/>
    <w:rsid w:val="66A37FFB"/>
    <w:rsid w:val="66A87ECF"/>
    <w:rsid w:val="66A92BB6"/>
    <w:rsid w:val="66AA193F"/>
    <w:rsid w:val="66B3361F"/>
    <w:rsid w:val="66C94E37"/>
    <w:rsid w:val="66D76FB8"/>
    <w:rsid w:val="66DB4CA2"/>
    <w:rsid w:val="66DE6DFF"/>
    <w:rsid w:val="66F152EA"/>
    <w:rsid w:val="66FC5225"/>
    <w:rsid w:val="670D5D80"/>
    <w:rsid w:val="67136B72"/>
    <w:rsid w:val="67165E43"/>
    <w:rsid w:val="671815BD"/>
    <w:rsid w:val="67193CC7"/>
    <w:rsid w:val="6730338D"/>
    <w:rsid w:val="6740279B"/>
    <w:rsid w:val="67490C51"/>
    <w:rsid w:val="67507AFC"/>
    <w:rsid w:val="67566290"/>
    <w:rsid w:val="677D5C8B"/>
    <w:rsid w:val="67955726"/>
    <w:rsid w:val="679C6B76"/>
    <w:rsid w:val="67A600FB"/>
    <w:rsid w:val="67AD1EEF"/>
    <w:rsid w:val="67B5130D"/>
    <w:rsid w:val="67DB0B44"/>
    <w:rsid w:val="67DE7C0E"/>
    <w:rsid w:val="67E05E71"/>
    <w:rsid w:val="67E3652B"/>
    <w:rsid w:val="67ED6179"/>
    <w:rsid w:val="67EE738B"/>
    <w:rsid w:val="67F128CC"/>
    <w:rsid w:val="68043F75"/>
    <w:rsid w:val="68075A74"/>
    <w:rsid w:val="680C5919"/>
    <w:rsid w:val="680F5DEF"/>
    <w:rsid w:val="68154EE1"/>
    <w:rsid w:val="682D01C9"/>
    <w:rsid w:val="6833354B"/>
    <w:rsid w:val="68397E79"/>
    <w:rsid w:val="683B0038"/>
    <w:rsid w:val="683E7F69"/>
    <w:rsid w:val="68605B31"/>
    <w:rsid w:val="686D1F9E"/>
    <w:rsid w:val="686D2E58"/>
    <w:rsid w:val="68763A21"/>
    <w:rsid w:val="6884485C"/>
    <w:rsid w:val="6896490E"/>
    <w:rsid w:val="68981348"/>
    <w:rsid w:val="68A666D3"/>
    <w:rsid w:val="68B10E09"/>
    <w:rsid w:val="68BB02A9"/>
    <w:rsid w:val="68D36EE8"/>
    <w:rsid w:val="69221A8E"/>
    <w:rsid w:val="69265F6C"/>
    <w:rsid w:val="692A0673"/>
    <w:rsid w:val="692C615D"/>
    <w:rsid w:val="69307C36"/>
    <w:rsid w:val="69333F1A"/>
    <w:rsid w:val="693F6E0A"/>
    <w:rsid w:val="695236E0"/>
    <w:rsid w:val="696520AC"/>
    <w:rsid w:val="6973025A"/>
    <w:rsid w:val="69795E69"/>
    <w:rsid w:val="697D362B"/>
    <w:rsid w:val="6982455F"/>
    <w:rsid w:val="6987625D"/>
    <w:rsid w:val="69A07E6C"/>
    <w:rsid w:val="69A53532"/>
    <w:rsid w:val="69AE05D4"/>
    <w:rsid w:val="69AE756E"/>
    <w:rsid w:val="69B01A8C"/>
    <w:rsid w:val="69C50C27"/>
    <w:rsid w:val="69CF1EC2"/>
    <w:rsid w:val="69FE5116"/>
    <w:rsid w:val="6A06055C"/>
    <w:rsid w:val="6A0959BC"/>
    <w:rsid w:val="6A0C6439"/>
    <w:rsid w:val="6A0F5E0C"/>
    <w:rsid w:val="6A17149F"/>
    <w:rsid w:val="6A233788"/>
    <w:rsid w:val="6A3475C6"/>
    <w:rsid w:val="6A3C7A45"/>
    <w:rsid w:val="6A4F1F4C"/>
    <w:rsid w:val="6A6B38EB"/>
    <w:rsid w:val="6A7417F1"/>
    <w:rsid w:val="6A780D70"/>
    <w:rsid w:val="6A8135FC"/>
    <w:rsid w:val="6A8E4893"/>
    <w:rsid w:val="6A9C13D5"/>
    <w:rsid w:val="6AA52772"/>
    <w:rsid w:val="6AA748CE"/>
    <w:rsid w:val="6AC3252E"/>
    <w:rsid w:val="6AC730A8"/>
    <w:rsid w:val="6ACA1310"/>
    <w:rsid w:val="6AD850C2"/>
    <w:rsid w:val="6ADA4FFE"/>
    <w:rsid w:val="6ADC1244"/>
    <w:rsid w:val="6AE16AE2"/>
    <w:rsid w:val="6AF05657"/>
    <w:rsid w:val="6AF213F3"/>
    <w:rsid w:val="6AF63A14"/>
    <w:rsid w:val="6B021AC4"/>
    <w:rsid w:val="6B0E2A7C"/>
    <w:rsid w:val="6B231DEC"/>
    <w:rsid w:val="6B2937F4"/>
    <w:rsid w:val="6B3E4FE3"/>
    <w:rsid w:val="6B3F7A93"/>
    <w:rsid w:val="6B4F45E3"/>
    <w:rsid w:val="6B5F5680"/>
    <w:rsid w:val="6B5F6366"/>
    <w:rsid w:val="6B7911C3"/>
    <w:rsid w:val="6B791D08"/>
    <w:rsid w:val="6B872FDC"/>
    <w:rsid w:val="6B89443D"/>
    <w:rsid w:val="6B8D1BCA"/>
    <w:rsid w:val="6B977FD2"/>
    <w:rsid w:val="6BA26FC7"/>
    <w:rsid w:val="6BAC4471"/>
    <w:rsid w:val="6BAC7557"/>
    <w:rsid w:val="6BB5404A"/>
    <w:rsid w:val="6BB563BC"/>
    <w:rsid w:val="6BBF61D0"/>
    <w:rsid w:val="6BD35F34"/>
    <w:rsid w:val="6BD904E2"/>
    <w:rsid w:val="6BDA39CC"/>
    <w:rsid w:val="6C02417F"/>
    <w:rsid w:val="6C0D6E82"/>
    <w:rsid w:val="6C126919"/>
    <w:rsid w:val="6C187FB3"/>
    <w:rsid w:val="6C1D5DDD"/>
    <w:rsid w:val="6C2324F4"/>
    <w:rsid w:val="6C401ECC"/>
    <w:rsid w:val="6C4D0ECE"/>
    <w:rsid w:val="6C60151B"/>
    <w:rsid w:val="6C695DB7"/>
    <w:rsid w:val="6C6B5A1A"/>
    <w:rsid w:val="6C8D7EB9"/>
    <w:rsid w:val="6C8E0D2E"/>
    <w:rsid w:val="6C970941"/>
    <w:rsid w:val="6C9E5DD5"/>
    <w:rsid w:val="6CA12DFA"/>
    <w:rsid w:val="6CA5035F"/>
    <w:rsid w:val="6CA97203"/>
    <w:rsid w:val="6CAF1C9D"/>
    <w:rsid w:val="6CB9242C"/>
    <w:rsid w:val="6CBF19AC"/>
    <w:rsid w:val="6CC12892"/>
    <w:rsid w:val="6CCE583E"/>
    <w:rsid w:val="6CDC1B1C"/>
    <w:rsid w:val="6CE31767"/>
    <w:rsid w:val="6CE73F50"/>
    <w:rsid w:val="6CEA5DE0"/>
    <w:rsid w:val="6CEA7B91"/>
    <w:rsid w:val="6CFC0BE9"/>
    <w:rsid w:val="6D0A5641"/>
    <w:rsid w:val="6D357B64"/>
    <w:rsid w:val="6D413F78"/>
    <w:rsid w:val="6D4E5DCF"/>
    <w:rsid w:val="6D591E36"/>
    <w:rsid w:val="6D612260"/>
    <w:rsid w:val="6D6E4574"/>
    <w:rsid w:val="6D961CB8"/>
    <w:rsid w:val="6D98304D"/>
    <w:rsid w:val="6DA138F2"/>
    <w:rsid w:val="6DB840D1"/>
    <w:rsid w:val="6DBD7D84"/>
    <w:rsid w:val="6DC600C9"/>
    <w:rsid w:val="6DD058EF"/>
    <w:rsid w:val="6DDA297E"/>
    <w:rsid w:val="6DDC3145"/>
    <w:rsid w:val="6DE674DA"/>
    <w:rsid w:val="6DE861B8"/>
    <w:rsid w:val="6DE936DC"/>
    <w:rsid w:val="6DEF51F9"/>
    <w:rsid w:val="6DF4412E"/>
    <w:rsid w:val="6DF70878"/>
    <w:rsid w:val="6E041863"/>
    <w:rsid w:val="6E162E27"/>
    <w:rsid w:val="6E1A1847"/>
    <w:rsid w:val="6E307C16"/>
    <w:rsid w:val="6E317A69"/>
    <w:rsid w:val="6E6968AD"/>
    <w:rsid w:val="6E76304D"/>
    <w:rsid w:val="6E965042"/>
    <w:rsid w:val="6E99211A"/>
    <w:rsid w:val="6E9C346A"/>
    <w:rsid w:val="6E9F0B4F"/>
    <w:rsid w:val="6EA46FFD"/>
    <w:rsid w:val="6EB77F0E"/>
    <w:rsid w:val="6EEE29FB"/>
    <w:rsid w:val="6F056012"/>
    <w:rsid w:val="6F08469A"/>
    <w:rsid w:val="6F166E74"/>
    <w:rsid w:val="6F2864EB"/>
    <w:rsid w:val="6F32526C"/>
    <w:rsid w:val="6F516840"/>
    <w:rsid w:val="6F572BD6"/>
    <w:rsid w:val="6F676DD3"/>
    <w:rsid w:val="6F723702"/>
    <w:rsid w:val="6F78401D"/>
    <w:rsid w:val="6F792390"/>
    <w:rsid w:val="6F79690C"/>
    <w:rsid w:val="6F9A7A87"/>
    <w:rsid w:val="6FB326FC"/>
    <w:rsid w:val="6FB70329"/>
    <w:rsid w:val="6FB86E0E"/>
    <w:rsid w:val="6FBD56FD"/>
    <w:rsid w:val="6FCA67A7"/>
    <w:rsid w:val="6FDA2D15"/>
    <w:rsid w:val="6FDA6823"/>
    <w:rsid w:val="6FDD29CB"/>
    <w:rsid w:val="6FFF0EFB"/>
    <w:rsid w:val="70015B9F"/>
    <w:rsid w:val="70126221"/>
    <w:rsid w:val="70306C20"/>
    <w:rsid w:val="703342C5"/>
    <w:rsid w:val="7045369D"/>
    <w:rsid w:val="704E36D5"/>
    <w:rsid w:val="705E5DC6"/>
    <w:rsid w:val="705E6668"/>
    <w:rsid w:val="70681668"/>
    <w:rsid w:val="7069185D"/>
    <w:rsid w:val="70B737E7"/>
    <w:rsid w:val="70C4195E"/>
    <w:rsid w:val="70C82DCF"/>
    <w:rsid w:val="70C9427E"/>
    <w:rsid w:val="70D23361"/>
    <w:rsid w:val="70D8656C"/>
    <w:rsid w:val="70E163DA"/>
    <w:rsid w:val="70E32C9B"/>
    <w:rsid w:val="70EB31E6"/>
    <w:rsid w:val="70F71F50"/>
    <w:rsid w:val="70F83C13"/>
    <w:rsid w:val="710673C3"/>
    <w:rsid w:val="710736B9"/>
    <w:rsid w:val="711F6043"/>
    <w:rsid w:val="71202758"/>
    <w:rsid w:val="71337DE7"/>
    <w:rsid w:val="71430C24"/>
    <w:rsid w:val="71474D6F"/>
    <w:rsid w:val="714B0485"/>
    <w:rsid w:val="714B3D51"/>
    <w:rsid w:val="71586965"/>
    <w:rsid w:val="718135FC"/>
    <w:rsid w:val="718246DB"/>
    <w:rsid w:val="718A3E46"/>
    <w:rsid w:val="71924BB9"/>
    <w:rsid w:val="719B742F"/>
    <w:rsid w:val="71A67095"/>
    <w:rsid w:val="71A8459D"/>
    <w:rsid w:val="71B17E49"/>
    <w:rsid w:val="71BF0C81"/>
    <w:rsid w:val="71C21E5C"/>
    <w:rsid w:val="71C459E4"/>
    <w:rsid w:val="71DD6E1C"/>
    <w:rsid w:val="71DE48BA"/>
    <w:rsid w:val="71FE2841"/>
    <w:rsid w:val="721A3519"/>
    <w:rsid w:val="72367C0C"/>
    <w:rsid w:val="72405E20"/>
    <w:rsid w:val="72515491"/>
    <w:rsid w:val="7252508B"/>
    <w:rsid w:val="725345A5"/>
    <w:rsid w:val="725458AE"/>
    <w:rsid w:val="725D4D06"/>
    <w:rsid w:val="72667029"/>
    <w:rsid w:val="72772C31"/>
    <w:rsid w:val="72867E70"/>
    <w:rsid w:val="728A0A56"/>
    <w:rsid w:val="72B14E7F"/>
    <w:rsid w:val="72C11C93"/>
    <w:rsid w:val="72E64A68"/>
    <w:rsid w:val="72EF452E"/>
    <w:rsid w:val="72FF32AD"/>
    <w:rsid w:val="73301ED4"/>
    <w:rsid w:val="73336032"/>
    <w:rsid w:val="733A050F"/>
    <w:rsid w:val="733A5573"/>
    <w:rsid w:val="733B7974"/>
    <w:rsid w:val="734C3070"/>
    <w:rsid w:val="734C4A5A"/>
    <w:rsid w:val="737B2502"/>
    <w:rsid w:val="73A44EEE"/>
    <w:rsid w:val="73A936D6"/>
    <w:rsid w:val="73B23374"/>
    <w:rsid w:val="73B420E1"/>
    <w:rsid w:val="73BB6D1F"/>
    <w:rsid w:val="73DD526D"/>
    <w:rsid w:val="73F70E9D"/>
    <w:rsid w:val="7402092E"/>
    <w:rsid w:val="74152F3C"/>
    <w:rsid w:val="742342E0"/>
    <w:rsid w:val="74295DA4"/>
    <w:rsid w:val="7444308A"/>
    <w:rsid w:val="744A1FF1"/>
    <w:rsid w:val="74517C70"/>
    <w:rsid w:val="746939F9"/>
    <w:rsid w:val="746C6F17"/>
    <w:rsid w:val="74703254"/>
    <w:rsid w:val="74811F51"/>
    <w:rsid w:val="74887EB4"/>
    <w:rsid w:val="74B97E13"/>
    <w:rsid w:val="74BB5FF6"/>
    <w:rsid w:val="74BB773B"/>
    <w:rsid w:val="74BE52E9"/>
    <w:rsid w:val="74DA2649"/>
    <w:rsid w:val="74FC0079"/>
    <w:rsid w:val="751A135E"/>
    <w:rsid w:val="753911B9"/>
    <w:rsid w:val="753C0349"/>
    <w:rsid w:val="754955AB"/>
    <w:rsid w:val="75495668"/>
    <w:rsid w:val="755A4ADF"/>
    <w:rsid w:val="755C7CA6"/>
    <w:rsid w:val="7563145D"/>
    <w:rsid w:val="75661B81"/>
    <w:rsid w:val="757F66B1"/>
    <w:rsid w:val="75827477"/>
    <w:rsid w:val="758A3A9C"/>
    <w:rsid w:val="75903D6C"/>
    <w:rsid w:val="75A22F00"/>
    <w:rsid w:val="75A66EA3"/>
    <w:rsid w:val="75A758DA"/>
    <w:rsid w:val="75B06EA6"/>
    <w:rsid w:val="75B44586"/>
    <w:rsid w:val="75C84169"/>
    <w:rsid w:val="75E53BCA"/>
    <w:rsid w:val="75F04956"/>
    <w:rsid w:val="75FD2568"/>
    <w:rsid w:val="760D299C"/>
    <w:rsid w:val="762233F3"/>
    <w:rsid w:val="76280871"/>
    <w:rsid w:val="762B24BD"/>
    <w:rsid w:val="76396275"/>
    <w:rsid w:val="763C7594"/>
    <w:rsid w:val="76571466"/>
    <w:rsid w:val="767E57C0"/>
    <w:rsid w:val="768377C7"/>
    <w:rsid w:val="76A2636D"/>
    <w:rsid w:val="76A26572"/>
    <w:rsid w:val="76AA4FEC"/>
    <w:rsid w:val="76AF31A7"/>
    <w:rsid w:val="76BA7A1C"/>
    <w:rsid w:val="76BD1045"/>
    <w:rsid w:val="76C563C5"/>
    <w:rsid w:val="76DF72F2"/>
    <w:rsid w:val="76E51E6E"/>
    <w:rsid w:val="76F9474F"/>
    <w:rsid w:val="76FD63E2"/>
    <w:rsid w:val="77075375"/>
    <w:rsid w:val="77370EF8"/>
    <w:rsid w:val="77385CA1"/>
    <w:rsid w:val="776C5677"/>
    <w:rsid w:val="777419B7"/>
    <w:rsid w:val="778714D0"/>
    <w:rsid w:val="7787399E"/>
    <w:rsid w:val="77882EE6"/>
    <w:rsid w:val="77934143"/>
    <w:rsid w:val="77A01ED2"/>
    <w:rsid w:val="77A12B76"/>
    <w:rsid w:val="77A55467"/>
    <w:rsid w:val="77BC035D"/>
    <w:rsid w:val="77C96F3E"/>
    <w:rsid w:val="77E244BD"/>
    <w:rsid w:val="77F16F06"/>
    <w:rsid w:val="780A3B52"/>
    <w:rsid w:val="78162C61"/>
    <w:rsid w:val="781B0F79"/>
    <w:rsid w:val="782B19C0"/>
    <w:rsid w:val="783173CC"/>
    <w:rsid w:val="78416C2F"/>
    <w:rsid w:val="784C491C"/>
    <w:rsid w:val="786321FE"/>
    <w:rsid w:val="78785999"/>
    <w:rsid w:val="78790B2C"/>
    <w:rsid w:val="787A232D"/>
    <w:rsid w:val="789C0942"/>
    <w:rsid w:val="78AB177A"/>
    <w:rsid w:val="78AD394F"/>
    <w:rsid w:val="78B22A6C"/>
    <w:rsid w:val="78BC77D5"/>
    <w:rsid w:val="78BD7C86"/>
    <w:rsid w:val="78D46E0D"/>
    <w:rsid w:val="78E30878"/>
    <w:rsid w:val="79043044"/>
    <w:rsid w:val="790E6B31"/>
    <w:rsid w:val="79131EDF"/>
    <w:rsid w:val="7913483D"/>
    <w:rsid w:val="791C6C54"/>
    <w:rsid w:val="79452B90"/>
    <w:rsid w:val="79526E39"/>
    <w:rsid w:val="79561339"/>
    <w:rsid w:val="79620B64"/>
    <w:rsid w:val="796903FC"/>
    <w:rsid w:val="796C450C"/>
    <w:rsid w:val="7978405A"/>
    <w:rsid w:val="79A04D4A"/>
    <w:rsid w:val="79C2124E"/>
    <w:rsid w:val="79C410C5"/>
    <w:rsid w:val="79E425FC"/>
    <w:rsid w:val="79F15137"/>
    <w:rsid w:val="79FA4083"/>
    <w:rsid w:val="79FE0ACF"/>
    <w:rsid w:val="7A094438"/>
    <w:rsid w:val="7A175901"/>
    <w:rsid w:val="7A2107C5"/>
    <w:rsid w:val="7A363162"/>
    <w:rsid w:val="7A575122"/>
    <w:rsid w:val="7A7474B6"/>
    <w:rsid w:val="7A756A78"/>
    <w:rsid w:val="7A87208C"/>
    <w:rsid w:val="7A9F3280"/>
    <w:rsid w:val="7AA0470C"/>
    <w:rsid w:val="7AAA264F"/>
    <w:rsid w:val="7AAF05F6"/>
    <w:rsid w:val="7ABF5598"/>
    <w:rsid w:val="7ACE2613"/>
    <w:rsid w:val="7AD90440"/>
    <w:rsid w:val="7AEB5590"/>
    <w:rsid w:val="7AF50CD6"/>
    <w:rsid w:val="7B0E2DD6"/>
    <w:rsid w:val="7B251534"/>
    <w:rsid w:val="7B3366D8"/>
    <w:rsid w:val="7B3D2362"/>
    <w:rsid w:val="7B403965"/>
    <w:rsid w:val="7B415761"/>
    <w:rsid w:val="7B556FF1"/>
    <w:rsid w:val="7B6A48AD"/>
    <w:rsid w:val="7B7F2B6F"/>
    <w:rsid w:val="7B800489"/>
    <w:rsid w:val="7B8410E8"/>
    <w:rsid w:val="7B8532F5"/>
    <w:rsid w:val="7B9E2C96"/>
    <w:rsid w:val="7BAA279A"/>
    <w:rsid w:val="7BAF3C0C"/>
    <w:rsid w:val="7BB10A55"/>
    <w:rsid w:val="7BC014DF"/>
    <w:rsid w:val="7BC36FC9"/>
    <w:rsid w:val="7BD72AE2"/>
    <w:rsid w:val="7BE94F82"/>
    <w:rsid w:val="7BEA0500"/>
    <w:rsid w:val="7BF46C65"/>
    <w:rsid w:val="7BFB21D5"/>
    <w:rsid w:val="7BFC5F48"/>
    <w:rsid w:val="7BFF51E2"/>
    <w:rsid w:val="7C046663"/>
    <w:rsid w:val="7C190AA8"/>
    <w:rsid w:val="7C3608AE"/>
    <w:rsid w:val="7C3A4B9B"/>
    <w:rsid w:val="7C487C63"/>
    <w:rsid w:val="7C550971"/>
    <w:rsid w:val="7C5945BC"/>
    <w:rsid w:val="7C5F4801"/>
    <w:rsid w:val="7C614296"/>
    <w:rsid w:val="7C682623"/>
    <w:rsid w:val="7C6C3D25"/>
    <w:rsid w:val="7C895532"/>
    <w:rsid w:val="7C8C52F4"/>
    <w:rsid w:val="7C98140E"/>
    <w:rsid w:val="7CBE4E42"/>
    <w:rsid w:val="7CC40A75"/>
    <w:rsid w:val="7CD70817"/>
    <w:rsid w:val="7CD979C3"/>
    <w:rsid w:val="7CEA1A10"/>
    <w:rsid w:val="7CEC752F"/>
    <w:rsid w:val="7CEF29C7"/>
    <w:rsid w:val="7CF46497"/>
    <w:rsid w:val="7CF82063"/>
    <w:rsid w:val="7D2520A8"/>
    <w:rsid w:val="7D254238"/>
    <w:rsid w:val="7D330D95"/>
    <w:rsid w:val="7D4862F8"/>
    <w:rsid w:val="7D4E2107"/>
    <w:rsid w:val="7D6C7CD9"/>
    <w:rsid w:val="7D711CC9"/>
    <w:rsid w:val="7D80172F"/>
    <w:rsid w:val="7D8836F6"/>
    <w:rsid w:val="7D9F4CC0"/>
    <w:rsid w:val="7DA905D5"/>
    <w:rsid w:val="7DAE7795"/>
    <w:rsid w:val="7DB3465F"/>
    <w:rsid w:val="7DB71F06"/>
    <w:rsid w:val="7DD22921"/>
    <w:rsid w:val="7DD603C5"/>
    <w:rsid w:val="7DDD720C"/>
    <w:rsid w:val="7DE95C90"/>
    <w:rsid w:val="7DF56431"/>
    <w:rsid w:val="7DFB65A2"/>
    <w:rsid w:val="7E0A084F"/>
    <w:rsid w:val="7E0F6480"/>
    <w:rsid w:val="7E225CB4"/>
    <w:rsid w:val="7E2C093C"/>
    <w:rsid w:val="7E304D04"/>
    <w:rsid w:val="7E4200C2"/>
    <w:rsid w:val="7E521AAD"/>
    <w:rsid w:val="7E610137"/>
    <w:rsid w:val="7E7834F2"/>
    <w:rsid w:val="7E7D5D68"/>
    <w:rsid w:val="7E824D61"/>
    <w:rsid w:val="7E984052"/>
    <w:rsid w:val="7EA34FAB"/>
    <w:rsid w:val="7EB27B79"/>
    <w:rsid w:val="7EC430E7"/>
    <w:rsid w:val="7EC71C40"/>
    <w:rsid w:val="7EC9173E"/>
    <w:rsid w:val="7EE9334F"/>
    <w:rsid w:val="7EF96076"/>
    <w:rsid w:val="7F0A1490"/>
    <w:rsid w:val="7F1101BF"/>
    <w:rsid w:val="7F35460C"/>
    <w:rsid w:val="7F493993"/>
    <w:rsid w:val="7F4E07F0"/>
    <w:rsid w:val="7F6C70D3"/>
    <w:rsid w:val="7F75167C"/>
    <w:rsid w:val="7F8F40CD"/>
    <w:rsid w:val="7F960CA5"/>
    <w:rsid w:val="7FA45C3B"/>
    <w:rsid w:val="7FB43216"/>
    <w:rsid w:val="7FC51257"/>
    <w:rsid w:val="7FC65B20"/>
    <w:rsid w:val="7FCE1CD9"/>
    <w:rsid w:val="7FE9177B"/>
    <w:rsid w:val="7FEF43ED"/>
    <w:rsid w:val="7FEF76DB"/>
    <w:rsid w:val="7FF346A1"/>
    <w:rsid w:val="7FFD0F4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99"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qFormat="1" w:unhideWhenUsed="0" w:uiPriority="99" w:semiHidden="0"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4"/>
    <w:qFormat/>
    <w:uiPriority w:val="99"/>
    <w:pPr>
      <w:widowControl/>
      <w:spacing w:before="100" w:beforeAutospacing="1" w:after="100" w:afterAutospacing="1"/>
      <w:jc w:val="left"/>
      <w:outlineLvl w:val="1"/>
    </w:pPr>
    <w:rPr>
      <w:rFonts w:ascii="宋体" w:cs="宋体"/>
      <w:b/>
      <w:bCs/>
      <w:kern w:val="0"/>
      <w:sz w:val="36"/>
      <w:szCs w:val="36"/>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3">
    <w:name w:val="List Number"/>
    <w:basedOn w:val="1"/>
    <w:qFormat/>
    <w:uiPriority w:val="99"/>
    <w:pPr>
      <w:numPr>
        <w:ilvl w:val="0"/>
        <w:numId w:val="1"/>
      </w:numPr>
      <w:tabs>
        <w:tab w:val="clear" w:pos="1058"/>
      </w:tabs>
    </w:pPr>
  </w:style>
  <w:style w:type="paragraph" w:styleId="4">
    <w:name w:val="annotation text"/>
    <w:basedOn w:val="1"/>
    <w:link w:val="25"/>
    <w:qFormat/>
    <w:uiPriority w:val="99"/>
    <w:pPr>
      <w:jc w:val="left"/>
    </w:pPr>
  </w:style>
  <w:style w:type="paragraph" w:styleId="5">
    <w:name w:val="Body Text"/>
    <w:basedOn w:val="1"/>
    <w:link w:val="27"/>
    <w:qFormat/>
    <w:uiPriority w:val="99"/>
    <w:pPr>
      <w:spacing w:after="120"/>
    </w:pPr>
  </w:style>
  <w:style w:type="paragraph" w:styleId="6">
    <w:name w:val="Body Text Indent"/>
    <w:basedOn w:val="1"/>
    <w:link w:val="28"/>
    <w:qFormat/>
    <w:uiPriority w:val="99"/>
    <w:pPr>
      <w:ind w:firstLine="200" w:firstLineChars="200"/>
    </w:pPr>
    <w:rPr>
      <w:rFonts w:ascii="仿宋_GB2312" w:eastAsia="仿宋_GB2312"/>
      <w:sz w:val="32"/>
    </w:rPr>
  </w:style>
  <w:style w:type="paragraph" w:styleId="7">
    <w:name w:val="Plain Text"/>
    <w:basedOn w:val="1"/>
    <w:link w:val="29"/>
    <w:qFormat/>
    <w:uiPriority w:val="99"/>
    <w:rPr>
      <w:rFonts w:ascii="宋体" w:cs="宋体"/>
      <w:sz w:val="32"/>
      <w:szCs w:val="32"/>
    </w:rPr>
  </w:style>
  <w:style w:type="paragraph" w:styleId="8">
    <w:name w:val="Date"/>
    <w:basedOn w:val="1"/>
    <w:next w:val="1"/>
    <w:link w:val="30"/>
    <w:qFormat/>
    <w:uiPriority w:val="99"/>
    <w:pPr>
      <w:ind w:left="2500" w:leftChars="2500"/>
    </w:pPr>
  </w:style>
  <w:style w:type="paragraph" w:styleId="9">
    <w:name w:val="Balloon Text"/>
    <w:basedOn w:val="1"/>
    <w:link w:val="31"/>
    <w:qFormat/>
    <w:uiPriority w:val="99"/>
    <w:rPr>
      <w:sz w:val="18"/>
      <w:szCs w:val="18"/>
    </w:rPr>
  </w:style>
  <w:style w:type="paragraph" w:styleId="10">
    <w:name w:val="footer"/>
    <w:basedOn w:val="1"/>
    <w:link w:val="32"/>
    <w:qFormat/>
    <w:uiPriority w:val="99"/>
    <w:pPr>
      <w:tabs>
        <w:tab w:val="center" w:pos="4153"/>
        <w:tab w:val="right" w:pos="8306"/>
      </w:tabs>
      <w:snapToGrid w:val="0"/>
      <w:jc w:val="left"/>
    </w:pPr>
    <w:rPr>
      <w:sz w:val="18"/>
      <w:szCs w:val="18"/>
    </w:rPr>
  </w:style>
  <w:style w:type="paragraph" w:styleId="11">
    <w:name w:val="header"/>
    <w:basedOn w:val="1"/>
    <w:link w:val="33"/>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link w:val="34"/>
    <w:semiHidden/>
    <w:qFormat/>
    <w:uiPriority w:val="99"/>
    <w:pPr>
      <w:snapToGrid w:val="0"/>
      <w:jc w:val="left"/>
    </w:pPr>
    <w:rPr>
      <w:sz w:val="18"/>
      <w:szCs w:val="18"/>
    </w:rPr>
  </w:style>
  <w:style w:type="paragraph" w:styleId="13">
    <w:name w:val="Body Text Indent 3"/>
    <w:basedOn w:val="1"/>
    <w:link w:val="35"/>
    <w:qFormat/>
    <w:uiPriority w:val="99"/>
    <w:pPr>
      <w:spacing w:line="480" w:lineRule="exact"/>
      <w:ind w:firstLine="100" w:firstLineChars="100"/>
    </w:pPr>
    <w:rPr>
      <w:rFonts w:eastAsia="仿宋_GB2312"/>
      <w:sz w:val="32"/>
    </w:rPr>
  </w:style>
  <w:style w:type="paragraph" w:styleId="14">
    <w:name w:val="Normal (Web)"/>
    <w:basedOn w:val="1"/>
    <w:qFormat/>
    <w:uiPriority w:val="99"/>
    <w:pPr>
      <w:widowControl/>
      <w:spacing w:before="100" w:beforeAutospacing="1" w:after="100" w:afterAutospacing="1"/>
      <w:jc w:val="left"/>
    </w:pPr>
    <w:rPr>
      <w:rFonts w:ascii="宋体" w:cs="宋体"/>
      <w:kern w:val="0"/>
      <w:sz w:val="24"/>
    </w:rPr>
  </w:style>
  <w:style w:type="paragraph" w:styleId="15">
    <w:name w:val="annotation subject"/>
    <w:basedOn w:val="4"/>
    <w:next w:val="4"/>
    <w:link w:val="26"/>
    <w:qFormat/>
    <w:uiPriority w:val="99"/>
    <w:rPr>
      <w:b/>
      <w:bCs/>
    </w:rPr>
  </w:style>
  <w:style w:type="character" w:styleId="18">
    <w:name w:val="Strong"/>
    <w:basedOn w:val="17"/>
    <w:qFormat/>
    <w:uiPriority w:val="99"/>
    <w:rPr>
      <w:rFonts w:cs="Times New Roman"/>
      <w:b/>
      <w:bCs/>
    </w:rPr>
  </w:style>
  <w:style w:type="character" w:styleId="19">
    <w:name w:val="page number"/>
    <w:basedOn w:val="17"/>
    <w:qFormat/>
    <w:uiPriority w:val="99"/>
    <w:rPr>
      <w:rFonts w:cs="Times New Roman"/>
    </w:rPr>
  </w:style>
  <w:style w:type="character" w:styleId="20">
    <w:name w:val="Emphasis"/>
    <w:basedOn w:val="17"/>
    <w:qFormat/>
    <w:uiPriority w:val="99"/>
    <w:rPr>
      <w:rFonts w:cs="Times New Roman"/>
      <w:i/>
      <w:iCs/>
    </w:rPr>
  </w:style>
  <w:style w:type="character" w:styleId="21">
    <w:name w:val="Hyperlink"/>
    <w:basedOn w:val="17"/>
    <w:qFormat/>
    <w:uiPriority w:val="99"/>
    <w:rPr>
      <w:rFonts w:cs="Times New Roman"/>
      <w:color w:val="0000FF"/>
      <w:u w:val="single"/>
    </w:rPr>
  </w:style>
  <w:style w:type="character" w:styleId="22">
    <w:name w:val="annotation reference"/>
    <w:basedOn w:val="17"/>
    <w:qFormat/>
    <w:uiPriority w:val="99"/>
    <w:rPr>
      <w:rFonts w:cs="Times New Roman"/>
      <w:sz w:val="21"/>
      <w:szCs w:val="21"/>
    </w:rPr>
  </w:style>
  <w:style w:type="character" w:styleId="23">
    <w:name w:val="footnote reference"/>
    <w:basedOn w:val="17"/>
    <w:semiHidden/>
    <w:qFormat/>
    <w:uiPriority w:val="99"/>
    <w:rPr>
      <w:rFonts w:cs="Times New Roman"/>
      <w:vertAlign w:val="superscript"/>
    </w:rPr>
  </w:style>
  <w:style w:type="character" w:customStyle="1" w:styleId="24">
    <w:name w:val="标题 2 Char"/>
    <w:basedOn w:val="17"/>
    <w:link w:val="2"/>
    <w:semiHidden/>
    <w:qFormat/>
    <w:uiPriority w:val="9"/>
    <w:rPr>
      <w:rFonts w:ascii="Cambria" w:hAnsi="Cambria" w:eastAsia="宋体" w:cs="Times New Roman"/>
      <w:b/>
      <w:bCs/>
      <w:sz w:val="32"/>
      <w:szCs w:val="32"/>
    </w:rPr>
  </w:style>
  <w:style w:type="character" w:customStyle="1" w:styleId="25">
    <w:name w:val="批注文字 Char"/>
    <w:basedOn w:val="17"/>
    <w:link w:val="4"/>
    <w:semiHidden/>
    <w:qFormat/>
    <w:uiPriority w:val="99"/>
    <w:rPr>
      <w:szCs w:val="24"/>
    </w:rPr>
  </w:style>
  <w:style w:type="character" w:customStyle="1" w:styleId="26">
    <w:name w:val="批注主题 Char"/>
    <w:basedOn w:val="25"/>
    <w:link w:val="15"/>
    <w:semiHidden/>
    <w:qFormat/>
    <w:uiPriority w:val="99"/>
    <w:rPr>
      <w:b/>
      <w:bCs/>
    </w:rPr>
  </w:style>
  <w:style w:type="character" w:customStyle="1" w:styleId="27">
    <w:name w:val="正文文本 Char"/>
    <w:basedOn w:val="17"/>
    <w:link w:val="5"/>
    <w:semiHidden/>
    <w:qFormat/>
    <w:uiPriority w:val="99"/>
    <w:rPr>
      <w:szCs w:val="24"/>
    </w:rPr>
  </w:style>
  <w:style w:type="character" w:customStyle="1" w:styleId="28">
    <w:name w:val="正文文本缩进 Char"/>
    <w:basedOn w:val="17"/>
    <w:link w:val="6"/>
    <w:qFormat/>
    <w:locked/>
    <w:uiPriority w:val="99"/>
    <w:rPr>
      <w:rFonts w:ascii="仿宋_GB2312" w:eastAsia="仿宋_GB2312" w:cs="Times New Roman"/>
      <w:kern w:val="2"/>
      <w:sz w:val="24"/>
      <w:szCs w:val="24"/>
    </w:rPr>
  </w:style>
  <w:style w:type="character" w:customStyle="1" w:styleId="29">
    <w:name w:val="纯文本 Char"/>
    <w:basedOn w:val="17"/>
    <w:link w:val="7"/>
    <w:qFormat/>
    <w:uiPriority w:val="99"/>
    <w:rPr>
      <w:rFonts w:ascii="宋体" w:cs="宋体"/>
      <w:kern w:val="2"/>
      <w:sz w:val="32"/>
      <w:szCs w:val="32"/>
      <w:lang w:bidi="ar-SA"/>
    </w:rPr>
  </w:style>
  <w:style w:type="character" w:customStyle="1" w:styleId="30">
    <w:name w:val="日期 Char"/>
    <w:basedOn w:val="17"/>
    <w:link w:val="8"/>
    <w:semiHidden/>
    <w:qFormat/>
    <w:uiPriority w:val="99"/>
    <w:rPr>
      <w:szCs w:val="24"/>
    </w:rPr>
  </w:style>
  <w:style w:type="character" w:customStyle="1" w:styleId="31">
    <w:name w:val="批注框文本 Char"/>
    <w:basedOn w:val="17"/>
    <w:link w:val="9"/>
    <w:semiHidden/>
    <w:qFormat/>
    <w:uiPriority w:val="99"/>
    <w:rPr>
      <w:sz w:val="0"/>
      <w:szCs w:val="0"/>
    </w:rPr>
  </w:style>
  <w:style w:type="character" w:customStyle="1" w:styleId="32">
    <w:name w:val="页脚 Char"/>
    <w:basedOn w:val="17"/>
    <w:link w:val="10"/>
    <w:semiHidden/>
    <w:qFormat/>
    <w:uiPriority w:val="99"/>
    <w:rPr>
      <w:sz w:val="18"/>
      <w:szCs w:val="18"/>
    </w:rPr>
  </w:style>
  <w:style w:type="character" w:customStyle="1" w:styleId="33">
    <w:name w:val="页眉 Char"/>
    <w:basedOn w:val="17"/>
    <w:link w:val="11"/>
    <w:semiHidden/>
    <w:qFormat/>
    <w:uiPriority w:val="99"/>
    <w:rPr>
      <w:sz w:val="18"/>
      <w:szCs w:val="18"/>
    </w:rPr>
  </w:style>
  <w:style w:type="character" w:customStyle="1" w:styleId="34">
    <w:name w:val="脚注文本 Char"/>
    <w:basedOn w:val="17"/>
    <w:link w:val="12"/>
    <w:semiHidden/>
    <w:qFormat/>
    <w:uiPriority w:val="99"/>
    <w:rPr>
      <w:sz w:val="18"/>
      <w:szCs w:val="18"/>
    </w:rPr>
  </w:style>
  <w:style w:type="character" w:customStyle="1" w:styleId="35">
    <w:name w:val="正文文本缩进 3 Char"/>
    <w:basedOn w:val="17"/>
    <w:link w:val="13"/>
    <w:semiHidden/>
    <w:qFormat/>
    <w:uiPriority w:val="99"/>
    <w:rPr>
      <w:sz w:val="16"/>
      <w:szCs w:val="16"/>
    </w:rPr>
  </w:style>
  <w:style w:type="character" w:customStyle="1" w:styleId="36">
    <w:name w:val="style71"/>
    <w:basedOn w:val="17"/>
    <w:qFormat/>
    <w:uiPriority w:val="99"/>
    <w:rPr>
      <w:rFonts w:cs="Times New Roman"/>
      <w:sz w:val="26"/>
      <w:szCs w:val="26"/>
    </w:rPr>
  </w:style>
  <w:style w:type="character" w:customStyle="1" w:styleId="37">
    <w:name w:val="页码1"/>
    <w:basedOn w:val="17"/>
    <w:qFormat/>
    <w:uiPriority w:val="99"/>
    <w:rPr>
      <w:rFonts w:cs="Times New Roman"/>
    </w:rPr>
  </w:style>
  <w:style w:type="character" w:customStyle="1" w:styleId="38">
    <w:name w:val="Char Char4"/>
    <w:basedOn w:val="17"/>
    <w:qFormat/>
    <w:uiPriority w:val="99"/>
    <w:rPr>
      <w:rFonts w:ascii="宋体" w:hAnsi="Courier New" w:cs="宋体"/>
      <w:kern w:val="2"/>
      <w:sz w:val="32"/>
      <w:szCs w:val="32"/>
    </w:rPr>
  </w:style>
  <w:style w:type="paragraph" w:customStyle="1" w:styleId="39">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40">
    <w:name w:val="大一编号"/>
    <w:basedOn w:val="3"/>
    <w:qFormat/>
    <w:uiPriority w:val="99"/>
    <w:pPr>
      <w:numPr>
        <w:numId w:val="0"/>
      </w:numPr>
      <w:tabs>
        <w:tab w:val="left" w:pos="1284"/>
        <w:tab w:val="left" w:pos="1344"/>
      </w:tabs>
      <w:topLinePunct/>
      <w:ind w:firstLine="624"/>
    </w:pPr>
    <w:rPr>
      <w:rFonts w:eastAsia="楷体_GB2312"/>
      <w:sz w:val="30"/>
      <w:szCs w:val="20"/>
    </w:rPr>
  </w:style>
  <w:style w:type="paragraph" w:customStyle="1" w:styleId="41">
    <w:name w:val="reader-word-layer reader-word-s1-3"/>
    <w:basedOn w:val="1"/>
    <w:qFormat/>
    <w:uiPriority w:val="99"/>
    <w:pPr>
      <w:widowControl/>
      <w:spacing w:before="100" w:beforeAutospacing="1" w:after="100" w:afterAutospacing="1"/>
      <w:jc w:val="left"/>
    </w:pPr>
    <w:rPr>
      <w:rFonts w:ascii="宋体" w:hAnsi="宋体" w:cs="宋体"/>
      <w:kern w:val="0"/>
      <w:sz w:val="24"/>
    </w:rPr>
  </w:style>
  <w:style w:type="paragraph" w:styleId="42">
    <w:name w:val="List Paragraph"/>
    <w:basedOn w:val="1"/>
    <w:unhideWhenUsed/>
    <w:qFormat/>
    <w:uiPriority w:val="99"/>
    <w:pPr>
      <w:ind w:firstLine="420" w:firstLineChars="200"/>
    </w:pPr>
  </w:style>
  <w:style w:type="paragraph" w:customStyle="1" w:styleId="43">
    <w:name w:val="正文2"/>
    <w:basedOn w:val="1"/>
    <w:next w:val="1"/>
    <w:qFormat/>
    <w:uiPriority w:val="0"/>
    <w:rPr>
      <w:rFonts w:ascii="宋体"/>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wmf"/><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Info spid="_x0000_s1026"/>
    <customShpInfo spid="_x0000_s1071"/>
    <customShpInfo spid="_x0000_s1070"/>
    <customShpInfo spid="_x0000_s1114"/>
    <customShpInfo spid="_x0000_s1113"/>
    <customShpInfo spid="_x0000_s1115"/>
    <customShpInfo spid="_x0000_s107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47</Pages>
  <Words>17847</Words>
  <Characters>18182</Characters>
  <Lines>155</Lines>
  <Paragraphs>43</Paragraphs>
  <TotalTime>43</TotalTime>
  <ScaleCrop>false</ScaleCrop>
  <LinksUpToDate>false</LinksUpToDate>
  <CharactersWithSpaces>20846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2020-06-11T03:01:00Z</dcterms:created>
  <dc:creator>微软用户</dc:creator>
  <cp:lastModifiedBy>Administrator</cp:lastModifiedBy>
  <cp:lastPrinted>2019-08-12T01:28:00Z</cp:lastPrinted>
  <dcterms:modified xsi:type="dcterms:W3CDTF">2024-09-03T03:11:41Z</dcterms:modified>
  <dc:title>赛公桥片区乐山天主教地块</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6B30089732BE458D88AA0A4F5BAF62B0</vt:lpwstr>
  </property>
</Properties>
</file>