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915E">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eastAsia" w:eastAsia="方正小标宋简体" w:cs="Times New Roman"/>
          <w:b/>
          <w:bCs/>
          <w:color w:val="auto"/>
          <w:sz w:val="44"/>
          <w:szCs w:val="44"/>
          <w:lang w:eastAsia="zh-CN"/>
        </w:rPr>
      </w:pPr>
      <w:r>
        <w:rPr>
          <w:rFonts w:hint="eastAsia" w:eastAsia="方正小标宋简体" w:cs="Times New Roman"/>
          <w:b/>
          <w:bCs/>
          <w:color w:val="auto"/>
          <w:sz w:val="44"/>
          <w:szCs w:val="44"/>
          <w:lang w:eastAsia="zh-CN"/>
        </w:rPr>
        <w:t>峨边国有2023-0</w:t>
      </w:r>
      <w:r>
        <w:rPr>
          <w:rFonts w:hint="eastAsia" w:eastAsia="方正小标宋简体" w:cs="Times New Roman"/>
          <w:b/>
          <w:bCs/>
          <w:color w:val="auto"/>
          <w:sz w:val="44"/>
          <w:szCs w:val="44"/>
          <w:lang w:val="en-US" w:eastAsia="zh-CN"/>
        </w:rPr>
        <w:t>8</w:t>
      </w:r>
      <w:r>
        <w:rPr>
          <w:rFonts w:hint="eastAsia" w:eastAsia="方正小标宋简体" w:cs="Times New Roman"/>
          <w:b/>
          <w:bCs/>
          <w:color w:val="auto"/>
          <w:sz w:val="44"/>
          <w:szCs w:val="44"/>
          <w:lang w:eastAsia="zh-CN"/>
        </w:rPr>
        <w:t xml:space="preserve">号地块 </w:t>
      </w:r>
    </w:p>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690A599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lang w:val="en-US"/>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峨边国有2023-0</w:t>
      </w:r>
      <w:r>
        <w:rPr>
          <w:rFonts w:hint="eastAsia" w:eastAsia="楷体_GB2312" w:cs="Times New Roman"/>
          <w:color w:val="auto"/>
          <w:sz w:val="32"/>
          <w:szCs w:val="32"/>
          <w:lang w:val="en-US" w:eastAsia="zh-CN"/>
        </w:rPr>
        <w:t>8</w:t>
      </w:r>
      <w:r>
        <w:rPr>
          <w:rFonts w:hint="eastAsia" w:ascii="Times New Roman" w:hAnsi="Times New Roman" w:eastAsia="楷体_GB2312" w:cs="Times New Roman"/>
          <w:color w:val="auto"/>
          <w:sz w:val="32"/>
          <w:szCs w:val="32"/>
          <w:lang w:eastAsia="zh-CN"/>
        </w:rPr>
        <w:t>号地块规划条件（</w:t>
      </w:r>
      <w:r>
        <w:rPr>
          <w:rFonts w:hint="eastAsia" w:ascii="Times New Roman" w:hAnsi="Times New Roman" w:eastAsia="楷体_GB2312" w:cs="Times New Roman"/>
          <w:color w:val="auto"/>
          <w:sz w:val="32"/>
          <w:szCs w:val="32"/>
          <w:lang w:val="en-US" w:eastAsia="zh-CN"/>
        </w:rPr>
        <w:t>峨边自然规划条件2023-</w:t>
      </w:r>
      <w:r>
        <w:rPr>
          <w:rFonts w:hint="eastAsia" w:eastAsia="楷体_GB2312" w:cs="Times New Roman"/>
          <w:color w:val="auto"/>
          <w:sz w:val="32"/>
          <w:szCs w:val="32"/>
          <w:lang w:val="en-US" w:eastAsia="zh-CN"/>
        </w:rPr>
        <w:t>02</w:t>
      </w:r>
      <w:r>
        <w:rPr>
          <w:rFonts w:hint="eastAsia" w:ascii="Times New Roman" w:hAnsi="Times New Roman" w:eastAsia="楷体_GB2312" w:cs="Times New Roman"/>
          <w:color w:val="auto"/>
          <w:sz w:val="32"/>
          <w:szCs w:val="32"/>
          <w:lang w:val="en-US" w:eastAsia="zh-CN"/>
        </w:rPr>
        <w:t>号)；</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峨边彝族自治县原沙坪茶场</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东至雪山村集体土地，西至雪山村村道，南至集体土地，北至</w:t>
      </w:r>
      <w:r>
        <w:rPr>
          <w:rFonts w:hint="eastAsia" w:ascii="仿宋_GB2312" w:hAnsi="仿宋_GB2312" w:eastAsia="仿宋_GB2312" w:cs="仿宋_GB2312"/>
          <w:sz w:val="32"/>
          <w:szCs w:val="32"/>
          <w:lang w:val="en-US" w:eastAsia="zh-CN"/>
        </w:rPr>
        <w:t>集体土地</w:t>
      </w:r>
      <w:r>
        <w:rPr>
          <w:rFonts w:hint="default" w:ascii="仿宋_GB2312" w:hAnsi="仿宋_GB2312" w:eastAsia="仿宋_GB2312" w:cs="仿宋_GB2312"/>
          <w:sz w:val="32"/>
          <w:szCs w:val="32"/>
          <w:lang w:eastAsia="zh-CN"/>
        </w:rPr>
        <w:t>。</w:t>
      </w:r>
    </w:p>
    <w:p w14:paraId="268C52D7">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．宗地</w:t>
      </w:r>
      <w:r>
        <w:rPr>
          <w:rFonts w:hint="eastAsia" w:eastAsia="仿宋_GB2312" w:cs="Times New Roman"/>
          <w:color w:val="auto"/>
          <w:sz w:val="32"/>
          <w:szCs w:val="32"/>
          <w:lang w:eastAsia="zh-CN"/>
        </w:rPr>
        <w:t>编号：峨边国有</w:t>
      </w:r>
      <w:r>
        <w:rPr>
          <w:rFonts w:hint="eastAsia" w:eastAsia="仿宋_GB2312" w:cs="Times New Roman"/>
          <w:color w:val="auto"/>
          <w:sz w:val="32"/>
          <w:szCs w:val="32"/>
          <w:lang w:val="en-US" w:eastAsia="zh-CN"/>
        </w:rPr>
        <w:t>2023-08号地块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8011.36</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12.017</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公用设施用地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w w:val="97"/>
          <w:sz w:val="32"/>
          <w:szCs w:val="32"/>
        </w:rPr>
        <w:t>0年</w:t>
      </w:r>
      <w:r>
        <w:rPr>
          <w:rFonts w:hint="eastAsia" w:ascii="仿宋_GB2312" w:hAnsi="仿宋_GB2312" w:eastAsia="仿宋_GB2312" w:cs="仿宋_GB2312"/>
          <w:w w:val="97"/>
          <w:sz w:val="32"/>
          <w:szCs w:val="32"/>
          <w:lang w:eastAsia="zh-CN"/>
        </w:rPr>
        <w:t>，出让年期以交付土地之日起计算</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供水用地（</w:t>
      </w:r>
      <w:r>
        <w:rPr>
          <w:rFonts w:hint="eastAsia" w:ascii="仿宋_GB2312" w:hAnsi="仿宋_GB2312" w:eastAsia="仿宋_GB2312" w:cs="仿宋_GB2312"/>
          <w:sz w:val="32"/>
          <w:szCs w:val="32"/>
          <w:lang w:val="en-US" w:eastAsia="zh-CN"/>
        </w:rPr>
        <w:t>1301</w:t>
      </w:r>
      <w:r>
        <w:rPr>
          <w:rFonts w:hint="eastAsia" w:ascii="仿宋_GB2312" w:hAnsi="仿宋_GB2312" w:eastAsia="仿宋_GB2312" w:cs="仿宋_GB2312"/>
          <w:sz w:val="32"/>
          <w:szCs w:val="32"/>
          <w:lang w:eastAsia="zh-CN"/>
        </w:rPr>
        <w:t>）</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1.0</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40%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20</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12m</w:t>
      </w: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default" w:ascii="Times New Roman" w:hAnsi="Times New Roman" w:eastAsia="仿宋_GB2312" w:cs="Times New Roman"/>
          <w:b/>
          <w:color w:val="auto"/>
          <w:sz w:val="32"/>
          <w:szCs w:val="32"/>
          <w:lang w:eastAsia="zh-CN"/>
        </w:rPr>
      </w:pPr>
      <w:r>
        <w:rPr>
          <w:rFonts w:hint="eastAsia" w:eastAsia="仿宋_GB2312" w:cs="Times New Roman"/>
          <w:b/>
          <w:color w:val="auto"/>
          <w:sz w:val="32"/>
          <w:szCs w:val="32"/>
          <w:lang w:eastAsia="zh-CN"/>
        </w:rPr>
        <w:t>具体</w:t>
      </w:r>
      <w:r>
        <w:rPr>
          <w:rFonts w:hint="default" w:ascii="Times New Roman" w:hAnsi="Times New Roman" w:eastAsia="仿宋_GB2312" w:cs="Times New Roman"/>
          <w:b/>
          <w:color w:val="auto"/>
          <w:sz w:val="32"/>
          <w:szCs w:val="32"/>
        </w:rPr>
        <w:t>规划条件详</w:t>
      </w:r>
      <w:r>
        <w:rPr>
          <w:rFonts w:hint="default" w:eastAsia="仿宋_GB2312" w:cs="Times New Roman"/>
          <w:b/>
          <w:bCs w:val="0"/>
          <w:color w:val="auto"/>
          <w:sz w:val="32"/>
          <w:szCs w:val="32"/>
          <w:lang w:eastAsia="zh-CN"/>
        </w:rPr>
        <w:t>见</w:t>
      </w:r>
      <w:r>
        <w:rPr>
          <w:rFonts w:hint="default" w:ascii="Times New Roman" w:hAnsi="Times New Roman" w:eastAsia="仿宋_GB2312" w:cs="Times New Roman"/>
          <w:b/>
          <w:color w:val="auto"/>
          <w:sz w:val="32"/>
          <w:szCs w:val="32"/>
          <w:lang w:eastAsia="zh-CN"/>
        </w:rPr>
        <w:t>：</w:t>
      </w:r>
      <w:r>
        <w:rPr>
          <w:rFonts w:hint="eastAsia" w:ascii="Times New Roman" w:hAnsi="Times New Roman" w:eastAsia="仿宋_GB2312" w:cs="Times New Roman"/>
          <w:b/>
          <w:color w:val="auto"/>
          <w:sz w:val="32"/>
          <w:szCs w:val="32"/>
          <w:lang w:eastAsia="zh-CN"/>
        </w:rPr>
        <w:t>峨边国有2023-0</w:t>
      </w:r>
      <w:r>
        <w:rPr>
          <w:rFonts w:hint="eastAsia" w:eastAsia="仿宋_GB2312" w:cs="Times New Roman"/>
          <w:b/>
          <w:color w:val="auto"/>
          <w:sz w:val="32"/>
          <w:szCs w:val="32"/>
          <w:lang w:val="en-US" w:eastAsia="zh-CN"/>
        </w:rPr>
        <w:t>8</w:t>
      </w:r>
      <w:r>
        <w:rPr>
          <w:rFonts w:hint="eastAsia" w:ascii="Times New Roman" w:hAnsi="Times New Roman" w:eastAsia="仿宋_GB2312" w:cs="Times New Roman"/>
          <w:b/>
          <w:color w:val="auto"/>
          <w:sz w:val="32"/>
          <w:szCs w:val="32"/>
          <w:lang w:eastAsia="zh-CN"/>
        </w:rPr>
        <w:t>号地块规划条件（</w:t>
      </w:r>
      <w:r>
        <w:rPr>
          <w:rFonts w:hint="eastAsia" w:ascii="Times New Roman" w:hAnsi="Times New Roman" w:eastAsia="仿宋_GB2312" w:cs="Times New Roman"/>
          <w:b/>
          <w:color w:val="auto"/>
          <w:sz w:val="32"/>
          <w:szCs w:val="32"/>
          <w:lang w:val="en-US" w:eastAsia="zh-CN"/>
        </w:rPr>
        <w:t>峨边自然规划条件2023-</w:t>
      </w:r>
      <w:r>
        <w:rPr>
          <w:rFonts w:hint="eastAsia" w:eastAsia="仿宋_GB2312" w:cs="Times New Roman"/>
          <w:b/>
          <w:color w:val="auto"/>
          <w:sz w:val="32"/>
          <w:szCs w:val="32"/>
          <w:lang w:val="en-US" w:eastAsia="zh-CN"/>
        </w:rPr>
        <w:t>02</w:t>
      </w:r>
      <w:r>
        <w:rPr>
          <w:rFonts w:hint="eastAsia" w:ascii="Times New Roman" w:hAnsi="Times New Roman" w:eastAsia="仿宋_GB2312" w:cs="Times New Roman"/>
          <w:b/>
          <w:color w:val="auto"/>
          <w:sz w:val="32"/>
          <w:szCs w:val="32"/>
          <w:lang w:val="en-US" w:eastAsia="zh-CN"/>
        </w:rPr>
        <w:t>号)</w:t>
      </w:r>
      <w:r>
        <w:rPr>
          <w:rFonts w:hint="default" w:ascii="Times New Roman" w:hAnsi="Times New Roman" w:eastAsia="仿宋_GB2312" w:cs="Times New Roman"/>
          <w:b/>
          <w:color w:val="auto"/>
          <w:sz w:val="32"/>
          <w:szCs w:val="32"/>
          <w:lang w:eastAsia="zh-CN"/>
        </w:rPr>
        <w:t>。</w:t>
      </w:r>
    </w:p>
    <w:p w14:paraId="2F59D0AB">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楷体_GB2312" w:cs="Times New Roman"/>
          <w:b/>
          <w:color w:val="auto"/>
          <w:sz w:val="32"/>
          <w:szCs w:val="32"/>
          <w:lang w:eastAsia="zh-CN"/>
        </w:rPr>
      </w:pPr>
      <w:r>
        <w:rPr>
          <w:rFonts w:hint="eastAsia" w:ascii="Times New Roman" w:hAnsi="Times New Roman" w:eastAsia="楷体_GB2312" w:cs="Times New Roman"/>
          <w:b/>
          <w:color w:val="auto"/>
          <w:sz w:val="32"/>
          <w:szCs w:val="32"/>
          <w:lang w:eastAsia="zh-CN"/>
        </w:rPr>
        <w:t>其他要求</w:t>
      </w:r>
    </w:p>
    <w:p w14:paraId="7ACCFADE">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bCs w:val="0"/>
          <w:color w:val="auto"/>
          <w:sz w:val="32"/>
          <w:szCs w:val="32"/>
          <w:lang w:eastAsia="zh-CN"/>
        </w:rPr>
      </w:pPr>
      <w:r>
        <w:rPr>
          <w:rFonts w:hint="eastAsia" w:ascii="Times New Roman" w:hAnsi="Times New Roman" w:eastAsia="仿宋_GB2312" w:cs="Times New Roman"/>
          <w:b/>
          <w:bCs w:val="0"/>
          <w:color w:val="auto"/>
          <w:sz w:val="32"/>
          <w:szCs w:val="32"/>
          <w:lang w:eastAsia="zh-CN"/>
        </w:rPr>
        <w:t>项目必须按《建设项目环境影响评价分类管理名录》开展环境影响评价工作，并经环保主管部门审批后，才能开工建设。并按环境影响评价的要求，采取有效措施，减少环境污染，确保生态环境安全。</w:t>
      </w:r>
    </w:p>
    <w:p w14:paraId="7AD88D87">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竞买人在竞得该宗地后，需按相关部门的规定完善相关手续后方可开工建设。</w:t>
      </w:r>
    </w:p>
    <w:p w14:paraId="474A603A">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竞买人在竞得该宗地后进行项目建设时，须严格按照自然资源管理部门宗地交地面积及红线范围使用土地，否则造成用地违法事件的，责任由竞得人负责。</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default" w:ascii="Times New Roman" w:hAnsi="Times New Roman" w:eastAsia="仿宋_GB2312" w:cs="Times New Roman"/>
          <w:b/>
          <w:color w:val="auto"/>
          <w:sz w:val="32"/>
          <w:szCs w:val="32"/>
          <w:lang w:eastAsia="zh-CN"/>
        </w:rPr>
        <w:t>自</w:t>
      </w:r>
      <w:r>
        <w:rPr>
          <w:rFonts w:hint="eastAsia" w:eastAsia="仿宋_GB2312" w:cs="Times New Roman"/>
          <w:b/>
          <w:color w:val="auto"/>
          <w:sz w:val="32"/>
          <w:szCs w:val="32"/>
          <w:lang w:eastAsia="zh-CN"/>
        </w:rPr>
        <w:t>签订《国有建设用地使用权出让合同》之日起</w:t>
      </w:r>
      <w:r>
        <w:rPr>
          <w:rFonts w:hint="eastAsia" w:eastAsia="仿宋_GB2312" w:cs="Times New Roman"/>
          <w:b/>
          <w:color w:val="auto"/>
          <w:sz w:val="32"/>
          <w:szCs w:val="32"/>
          <w:lang w:val="en-US" w:eastAsia="zh-CN"/>
        </w:rPr>
        <w:t>12个月</w:t>
      </w:r>
      <w:r>
        <w:rPr>
          <w:rFonts w:hint="default" w:ascii="Times New Roman" w:hAnsi="Times New Roman" w:eastAsia="仿宋_GB2312" w:cs="Times New Roman"/>
          <w:b/>
          <w:color w:val="auto"/>
          <w:sz w:val="32"/>
          <w:szCs w:val="32"/>
        </w:rPr>
        <w:t>内开工。</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60个月</w:t>
      </w:r>
      <w:r>
        <w:rPr>
          <w:rFonts w:hint="default" w:ascii="Times New Roman" w:hAnsi="Times New Roman" w:eastAsia="仿宋_GB2312" w:cs="Times New Roman"/>
          <w:b/>
          <w:color w:val="auto"/>
          <w:sz w:val="32"/>
          <w:szCs w:val="32"/>
        </w:rPr>
        <w:t>内竣工。</w:t>
      </w:r>
    </w:p>
    <w:p w14:paraId="444A1444">
      <w:pPr>
        <w:keepNext w:val="0"/>
        <w:keepLines w:val="0"/>
        <w:pageBreakBefore w:val="0"/>
        <w:numPr>
          <w:ilvl w:val="0"/>
          <w:numId w:val="4"/>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250</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5"/>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10</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9</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6"/>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9</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750</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78CF23E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eastAsia" w:ascii="Times New Roman" w:hAnsi="Times New Roman" w:eastAsia="楷体_GB2312" w:cs="Times New Roman"/>
          <w:b/>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（一）竞得人须在土地拍卖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峨边彝族自治县</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60日内将土地成交价款全额缴入峨边彝族自治县财政专户。</w:t>
      </w:r>
      <w:r>
        <w:rPr>
          <w:rFonts w:hint="default" w:ascii="Times New Roman" w:hAnsi="Times New Roman" w:eastAsia="楷体_GB2312" w:cs="Times New Roman"/>
          <w:b/>
          <w:color w:val="auto"/>
          <w:sz w:val="32"/>
          <w:szCs w:val="32"/>
        </w:rPr>
        <w:t xml:space="preserve">  </w:t>
      </w:r>
      <w:r>
        <w:rPr>
          <w:rFonts w:hint="default" w:ascii="Times New Roman" w:hAnsi="Times New Roman" w:cs="Times New Roman"/>
          <w:color w:val="auto"/>
          <w:u w:val="single"/>
        </w:rPr>
        <w:t xml:space="preserve">                         </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0C3D49D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竞得人付清土地</w:t>
      </w:r>
      <w:r>
        <w:rPr>
          <w:rFonts w:hint="eastAsia" w:eastAsia="楷体_GB2312" w:cs="Times New Roman"/>
          <w:b/>
          <w:color w:val="auto"/>
          <w:sz w:val="32"/>
          <w:szCs w:val="32"/>
          <w:lang w:val="en-US" w:eastAsia="zh-CN"/>
        </w:rPr>
        <w:t>全部</w:t>
      </w:r>
      <w:r>
        <w:rPr>
          <w:rFonts w:hint="default" w:ascii="Times New Roman" w:hAnsi="Times New Roman" w:eastAsia="楷体_GB2312" w:cs="Times New Roman"/>
          <w:b/>
          <w:color w:val="auto"/>
          <w:sz w:val="32"/>
          <w:szCs w:val="32"/>
          <w:lang w:val="en-US" w:eastAsia="zh-CN"/>
        </w:rPr>
        <w:t>成交价款</w:t>
      </w:r>
      <w:r>
        <w:rPr>
          <w:rFonts w:hint="eastAsia" w:eastAsia="楷体_GB2312" w:cs="Times New Roman"/>
          <w:b/>
          <w:color w:val="auto"/>
          <w:sz w:val="32"/>
          <w:szCs w:val="32"/>
          <w:lang w:val="en-US" w:eastAsia="zh-CN"/>
        </w:rPr>
        <w:t>后30日内，由峨边彝族自治县自然资源局</w:t>
      </w:r>
      <w:r>
        <w:rPr>
          <w:rFonts w:hint="default" w:ascii="Times New Roman" w:hAnsi="Times New Roman" w:eastAsia="楷体_GB2312" w:cs="Times New Roman"/>
          <w:b/>
          <w:color w:val="auto"/>
          <w:sz w:val="32"/>
          <w:szCs w:val="32"/>
          <w:lang w:val="en-US" w:eastAsia="zh-CN"/>
        </w:rPr>
        <w:t>按宗地</w:t>
      </w:r>
      <w:r>
        <w:rPr>
          <w:rFonts w:hint="eastAsia" w:eastAsia="楷体_GB2312" w:cs="Times New Roman"/>
          <w:b/>
          <w:color w:val="auto"/>
          <w:sz w:val="32"/>
          <w:szCs w:val="32"/>
          <w:lang w:val="en-US" w:eastAsia="zh-CN"/>
        </w:rPr>
        <w:t>地形现状向竞得人</w:t>
      </w:r>
      <w:r>
        <w:rPr>
          <w:rFonts w:hint="default" w:ascii="Times New Roman" w:hAnsi="Times New Roman" w:eastAsia="楷体_GB2312" w:cs="Times New Roman"/>
          <w:b/>
          <w:color w:val="auto"/>
          <w:sz w:val="32"/>
          <w:szCs w:val="32"/>
          <w:lang w:val="en-US" w:eastAsia="zh-CN"/>
        </w:rPr>
        <w:t>交付</w:t>
      </w:r>
      <w:r>
        <w:rPr>
          <w:rFonts w:hint="eastAsia" w:eastAsia="楷体_GB2312" w:cs="Times New Roman"/>
          <w:b/>
          <w:color w:val="auto"/>
          <w:sz w:val="32"/>
          <w:szCs w:val="32"/>
          <w:lang w:val="en-US" w:eastAsia="zh-CN"/>
        </w:rPr>
        <w:t>土地。出让宗地范围内的建（构）筑物、青苗林木的拆迁补偿已经完成。地块范围内的场地平整由竞得人负责完成，地上建（构）筑物由竞得人自行处置，</w:t>
      </w:r>
      <w:r>
        <w:rPr>
          <w:rFonts w:hint="default" w:ascii="Times New Roman" w:hAnsi="Times New Roman" w:eastAsia="楷体_GB2312" w:cs="Times New Roman"/>
          <w:b/>
          <w:color w:val="auto"/>
          <w:sz w:val="32"/>
          <w:szCs w:val="32"/>
          <w:lang w:val="en-US" w:eastAsia="zh-CN"/>
        </w:rPr>
        <w:t>地下管线的迁改由</w:t>
      </w:r>
      <w:r>
        <w:rPr>
          <w:rFonts w:hint="eastAsia" w:eastAsia="楷体_GB2312" w:cs="Times New Roman"/>
          <w:b/>
          <w:color w:val="auto"/>
          <w:sz w:val="32"/>
          <w:szCs w:val="32"/>
          <w:lang w:val="en-US" w:eastAsia="zh-CN"/>
        </w:rPr>
        <w:t>峨边彝族自治县自然资源局</w:t>
      </w:r>
      <w:r>
        <w:rPr>
          <w:rFonts w:hint="default" w:ascii="Times New Roman" w:hAnsi="Times New Roman" w:eastAsia="楷体_GB2312" w:cs="Times New Roman"/>
          <w:b/>
          <w:color w:val="auto"/>
          <w:sz w:val="32"/>
          <w:szCs w:val="32"/>
          <w:lang w:val="en-US" w:eastAsia="zh-CN"/>
        </w:rPr>
        <w:t>负责完成。</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68022F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07716466">
      <w:pPr>
        <w:rPr>
          <w:rFonts w:hint="default" w:eastAsia="宋体"/>
          <w:lang w:val="en-US" w:eastAsia="zh-CN"/>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8</w:t>
      </w:r>
      <w:r>
        <w:rPr>
          <w:rFonts w:hint="eastAsia" w:ascii="Times New Roman" w:hAnsi="Times New Roman" w:eastAsia="仿宋_GB2312" w:cs="Times New Roman"/>
          <w:color w:val="auto"/>
          <w:sz w:val="32"/>
          <w:szCs w:val="32"/>
          <w:lang w:eastAsia="zh-CN"/>
        </w:rPr>
        <w:t>号地块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250</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36A32A40">
      <w:pPr>
        <w:spacing w:line="580" w:lineRule="exact"/>
        <w:jc w:val="center"/>
        <w:rPr>
          <w:rFonts w:hint="default" w:ascii="Times New Roman" w:hAnsi="Times New Roman" w:eastAsia="方正小标宋简体" w:cs="Times New Roman"/>
          <w:b/>
          <w:color w:val="auto"/>
          <w:sz w:val="44"/>
          <w:szCs w:val="44"/>
        </w:rPr>
      </w:pPr>
    </w:p>
    <w:p w14:paraId="5F62C236">
      <w:pPr>
        <w:spacing w:line="580" w:lineRule="exact"/>
        <w:jc w:val="center"/>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公开拍卖出让</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8</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乐山市峨边彝族自治县</w:t>
      </w:r>
      <w:r>
        <w:rPr>
          <w:rFonts w:hint="default" w:ascii="Times New Roman" w:hAnsi="Times New Roman" w:eastAsia="黑体" w:cs="Times New Roman"/>
          <w:b/>
          <w:color w:val="auto"/>
          <w:sz w:val="32"/>
          <w:szCs w:val="32"/>
        </w:rPr>
        <w:t>自然资源局签订《国有建设用地使用权出让合同》。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 xml:space="preserve">在签订《国有建设用地使用权出让合同》之日起60日内将土地成交价款全额缴入峨边彝族自治县财政专户。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eastAsia" w:ascii="Times New Roman" w:hAnsi="Times New Roman" w:eastAsia="仿宋_GB2312" w:cs="Times New Roman"/>
          <w:color w:val="auto"/>
          <w:sz w:val="32"/>
          <w:szCs w:val="32"/>
          <w:lang w:eastAsia="zh-CN"/>
        </w:rPr>
        <w:t>峨边国有2023-0</w:t>
      </w:r>
      <w:r>
        <w:rPr>
          <w:rFonts w:hint="eastAsia" w:ascii="Times New Roman" w:hAnsi="Times New Roman" w:eastAsia="仿宋_GB2312" w:cs="Times New Roman"/>
          <w:color w:val="auto"/>
          <w:sz w:val="32"/>
          <w:szCs w:val="32"/>
          <w:lang w:val="en-US" w:eastAsia="zh-CN"/>
        </w:rPr>
        <w:t>8</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10</w:t>
      </w:r>
      <w:bookmarkStart w:id="0" w:name="_GoBack"/>
      <w:bookmarkEnd w:id="0"/>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09:30分前，到</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eastAsia" w:ascii="Times New Roman" w:hAnsi="Times New Roman" w:eastAsia="仿宋_GB2312" w:cs="Times New Roman"/>
                <w:color w:val="auto"/>
                <w:sz w:val="24"/>
                <w:lang w:val="en-US" w:eastAsia="zh-CN"/>
              </w:rPr>
              <w:t>乐山高新区乐高大道6号6幢智创SOHO（A座）五楼乐山市公共资源交易服务中心</w:t>
            </w:r>
            <w:r>
              <w:rPr>
                <w:rFonts w:hint="default" w:ascii="Times New Roman" w:hAnsi="Times New Roman" w:eastAsia="仿宋_GB2312" w:cs="Times New Roman"/>
                <w:color w:val="auto"/>
                <w:sz w:val="24"/>
              </w:rPr>
              <w:t>举办的</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7"/>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04E56C49"/>
    <w:multiLevelType w:val="singleLevel"/>
    <w:tmpl w:val="04E56C49"/>
    <w:lvl w:ilvl="0" w:tentative="0">
      <w:start w:val="1"/>
      <w:numFmt w:val="decimal"/>
      <w:suff w:val="space"/>
      <w:lvlText w:val="%1."/>
      <w:lvlJc w:val="left"/>
    </w:lvl>
  </w:abstractNum>
  <w:abstractNum w:abstractNumId="4">
    <w:nsid w:val="1E0765E9"/>
    <w:multiLevelType w:val="singleLevel"/>
    <w:tmpl w:val="1E0765E9"/>
    <w:lvl w:ilvl="0" w:tentative="0">
      <w:start w:val="2"/>
      <w:numFmt w:val="decimal"/>
      <w:suff w:val="space"/>
      <w:lvlText w:val="%1."/>
      <w:lvlJc w:val="left"/>
    </w:lvl>
  </w:abstractNum>
  <w:abstractNum w:abstractNumId="5">
    <w:nsid w:val="4F5392BB"/>
    <w:multiLevelType w:val="singleLevel"/>
    <w:tmpl w:val="4F5392BB"/>
    <w:lvl w:ilvl="0" w:tentative="0">
      <w:start w:val="2"/>
      <w:numFmt w:val="chineseCounting"/>
      <w:suff w:val="nothing"/>
      <w:lvlText w:val="（%1）"/>
      <w:lvlJc w:val="left"/>
      <w:rPr>
        <w:rFonts w:hint="eastAsia"/>
      </w:rPr>
    </w:lvl>
  </w:abstractNum>
  <w:abstractNum w:abstractNumId="6">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910DC"/>
    <w:rsid w:val="029C7A57"/>
    <w:rsid w:val="029E028D"/>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93FA6"/>
    <w:rsid w:val="0B4D3075"/>
    <w:rsid w:val="0B534F52"/>
    <w:rsid w:val="0B5D29B3"/>
    <w:rsid w:val="0B5E7B9B"/>
    <w:rsid w:val="0B676EA8"/>
    <w:rsid w:val="0B6A73F2"/>
    <w:rsid w:val="0B8E42AF"/>
    <w:rsid w:val="0B967B65"/>
    <w:rsid w:val="0B9A56A0"/>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A1F90"/>
    <w:rsid w:val="13EB0F50"/>
    <w:rsid w:val="13EF723C"/>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36618"/>
    <w:rsid w:val="28C41CED"/>
    <w:rsid w:val="28CB0A2E"/>
    <w:rsid w:val="28CB33C3"/>
    <w:rsid w:val="28DE22F9"/>
    <w:rsid w:val="28E37C93"/>
    <w:rsid w:val="28E776DD"/>
    <w:rsid w:val="28F438DD"/>
    <w:rsid w:val="28F7325D"/>
    <w:rsid w:val="28FC0333"/>
    <w:rsid w:val="29003C3E"/>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D4211"/>
    <w:rsid w:val="406B4B50"/>
    <w:rsid w:val="406E73F7"/>
    <w:rsid w:val="40787C9C"/>
    <w:rsid w:val="40831334"/>
    <w:rsid w:val="40846C1B"/>
    <w:rsid w:val="40986750"/>
    <w:rsid w:val="40A635A5"/>
    <w:rsid w:val="40B15CB2"/>
    <w:rsid w:val="40B44C5E"/>
    <w:rsid w:val="40B907EA"/>
    <w:rsid w:val="40BA09CD"/>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EC672A"/>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E7511"/>
    <w:rsid w:val="5EA46112"/>
    <w:rsid w:val="5EAA4A26"/>
    <w:rsid w:val="5EAF7A50"/>
    <w:rsid w:val="5EE35E98"/>
    <w:rsid w:val="5EE65E2F"/>
    <w:rsid w:val="5EF31E49"/>
    <w:rsid w:val="5EF82993"/>
    <w:rsid w:val="5EFB6F11"/>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F112D9"/>
    <w:rsid w:val="6C000177"/>
    <w:rsid w:val="6C0018D7"/>
    <w:rsid w:val="6C05065E"/>
    <w:rsid w:val="6C092E6B"/>
    <w:rsid w:val="6C0B60DD"/>
    <w:rsid w:val="6C1415B1"/>
    <w:rsid w:val="6C144126"/>
    <w:rsid w:val="6C290A8E"/>
    <w:rsid w:val="6C2B7E0A"/>
    <w:rsid w:val="6C30025F"/>
    <w:rsid w:val="6C377D5B"/>
    <w:rsid w:val="6C4043DC"/>
    <w:rsid w:val="6C4333C4"/>
    <w:rsid w:val="6C4767B8"/>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060F2"/>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17377</Words>
  <Characters>17779</Characters>
  <Lines>151</Lines>
  <Paragraphs>42</Paragraphs>
  <TotalTime>21</TotalTime>
  <ScaleCrop>false</ScaleCrop>
  <LinksUpToDate>false</LinksUpToDate>
  <CharactersWithSpaces>20565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2024-09-20T02:27:30Z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A687E006AB6D44DDAED352E4C4C70A47</vt:lpwstr>
  </property>
</Properties>
</file>